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240" w:lineRule="auto"/>
        <w:jc w:val="center"/>
        <w:textAlignment w:val="auto"/>
        <w:rPr>
          <w:rFonts w:hint="eastAsia" w:ascii="黑体" w:hAnsi="黑体" w:eastAsia="黑体" w:cs="黑体"/>
          <w:b/>
          <w:sz w:val="30"/>
          <w:szCs w:val="30"/>
          <w:lang w:eastAsia="zh-CN"/>
        </w:rPr>
      </w:pPr>
      <w:r>
        <w:rPr>
          <w:rFonts w:hint="eastAsia" w:ascii="黑体" w:hAnsi="黑体" w:eastAsia="黑体" w:cs="黑体"/>
          <w:b/>
          <w:sz w:val="32"/>
          <w:szCs w:val="32"/>
          <w:highlight w:val="none"/>
        </w:rPr>
        <w:t>20</w:t>
      </w:r>
      <w:r>
        <w:rPr>
          <w:rFonts w:hint="eastAsia" w:ascii="黑体" w:hAnsi="黑体" w:eastAsia="黑体" w:cs="黑体"/>
          <w:b/>
          <w:sz w:val="32"/>
          <w:szCs w:val="32"/>
          <w:highlight w:val="none"/>
          <w:lang w:val="en-US" w:eastAsia="zh-CN"/>
        </w:rPr>
        <w:t>24</w:t>
      </w:r>
      <w:r>
        <w:rPr>
          <w:rFonts w:hint="eastAsia" w:ascii="黑体" w:hAnsi="黑体" w:eastAsia="黑体" w:cs="黑体"/>
          <w:b/>
          <w:sz w:val="32"/>
          <w:szCs w:val="32"/>
          <w:highlight w:val="none"/>
        </w:rPr>
        <w:t>-20</w:t>
      </w:r>
      <w:r>
        <w:rPr>
          <w:rFonts w:hint="eastAsia" w:ascii="黑体" w:hAnsi="黑体" w:eastAsia="黑体" w:cs="黑体"/>
          <w:b/>
          <w:sz w:val="32"/>
          <w:szCs w:val="32"/>
          <w:highlight w:val="none"/>
          <w:lang w:val="en-US" w:eastAsia="zh-CN"/>
        </w:rPr>
        <w:t>25</w:t>
      </w:r>
      <w:r>
        <w:rPr>
          <w:rFonts w:hint="eastAsia" w:ascii="黑体" w:hAnsi="黑体" w:eastAsia="黑体" w:cs="黑体"/>
          <w:b/>
          <w:sz w:val="32"/>
          <w:szCs w:val="32"/>
        </w:rPr>
        <w:t>学年度</w:t>
      </w:r>
      <w:r>
        <w:rPr>
          <w:rFonts w:hint="eastAsia" w:ascii="黑体" w:hAnsi="黑体" w:eastAsia="黑体" w:cs="黑体"/>
          <w:b/>
          <w:sz w:val="32"/>
          <w:szCs w:val="32"/>
          <w:lang w:val="en-US" w:eastAsia="zh-CN"/>
        </w:rPr>
        <w:t xml:space="preserve"> </w:t>
      </w:r>
      <w:r>
        <w:rPr>
          <w:rFonts w:hint="eastAsia" w:ascii="黑体" w:hAnsi="黑体" w:eastAsia="黑体" w:cs="黑体"/>
          <w:b/>
          <w:sz w:val="32"/>
          <w:szCs w:val="32"/>
        </w:rPr>
        <w:t>西班牙萨拉戈萨大学学期交流项目</w:t>
      </w:r>
      <w:r>
        <w:rPr>
          <w:rFonts w:hint="eastAsia" w:ascii="黑体" w:hAnsi="黑体" w:eastAsia="黑体" w:cs="黑体"/>
          <w:b/>
          <w:sz w:val="32"/>
          <w:szCs w:val="32"/>
          <w:lang w:eastAsia="zh-CN"/>
        </w:rPr>
        <w:t>（</w:t>
      </w:r>
      <w:r>
        <w:rPr>
          <w:rFonts w:hint="eastAsia" w:ascii="黑体" w:hAnsi="黑体" w:eastAsia="黑体" w:cs="黑体"/>
          <w:b/>
          <w:sz w:val="32"/>
          <w:szCs w:val="32"/>
          <w:lang w:val="en-US" w:eastAsia="zh-CN"/>
        </w:rPr>
        <w:t>上海商学院</w:t>
      </w:r>
      <w:r>
        <w:rPr>
          <w:rFonts w:hint="eastAsia" w:ascii="黑体" w:hAnsi="黑体" w:eastAsia="黑体" w:cs="黑体"/>
          <w:b/>
          <w:sz w:val="32"/>
          <w:szCs w:val="32"/>
          <w:lang w:eastAsia="zh-CN"/>
        </w:rPr>
        <w:t>）</w:t>
      </w:r>
    </w:p>
    <w:p>
      <w:pPr>
        <w:keepNext w:val="0"/>
        <w:keepLines w:val="0"/>
        <w:pageBreakBefore w:val="0"/>
        <w:numPr>
          <w:ilvl w:val="0"/>
          <w:numId w:val="0"/>
        </w:numPr>
        <w:kinsoku/>
        <w:wordWrap/>
        <w:overflowPunct/>
        <w:topLinePunct w:val="0"/>
        <w:bidi w:val="0"/>
        <w:spacing w:line="240" w:lineRule="auto"/>
        <w:ind w:leftChars="0"/>
        <w:jc w:val="center"/>
        <w:textAlignment w:val="auto"/>
        <w:rPr>
          <w:rFonts w:hint="eastAsia" w:ascii="仿宋" w:hAnsi="仿宋" w:eastAsia="仿宋" w:cs="仿宋"/>
          <w:b/>
          <w:sz w:val="28"/>
          <w:szCs w:val="28"/>
          <w:lang w:eastAsia="zh-CN"/>
        </w:rPr>
      </w:pPr>
      <w:r>
        <w:rPr>
          <w:rFonts w:hint="eastAsia" w:ascii="仿宋" w:hAnsi="仿宋" w:eastAsia="仿宋" w:cs="仿宋"/>
          <w:b/>
          <w:sz w:val="28"/>
          <w:szCs w:val="28"/>
          <w:lang w:eastAsia="zh-CN"/>
        </w:rPr>
        <w:t>（</w:t>
      </w:r>
      <w:r>
        <w:rPr>
          <w:rFonts w:hint="eastAsia" w:ascii="仿宋" w:hAnsi="仿宋" w:eastAsia="仿宋" w:cs="仿宋"/>
          <w:b/>
          <w:sz w:val="28"/>
          <w:szCs w:val="28"/>
          <w:lang w:val="en-US" w:eastAsia="zh-CN"/>
        </w:rPr>
        <w:t>英语学分课程</w:t>
      </w:r>
      <w:r>
        <w:rPr>
          <w:rFonts w:hint="eastAsia" w:ascii="仿宋" w:hAnsi="仿宋" w:eastAsia="仿宋" w:cs="仿宋"/>
          <w:b/>
          <w:sz w:val="28"/>
          <w:szCs w:val="28"/>
          <w:lang w:eastAsia="zh-CN"/>
        </w:rPr>
        <w:t>）</w:t>
      </w:r>
    </w:p>
    <w:p>
      <w:pPr>
        <w:keepNext w:val="0"/>
        <w:keepLines w:val="0"/>
        <w:pageBreakBefore w:val="0"/>
        <w:numPr>
          <w:ilvl w:val="0"/>
          <w:numId w:val="1"/>
        </w:numPr>
        <w:kinsoku/>
        <w:wordWrap/>
        <w:overflowPunct/>
        <w:topLinePunct w:val="0"/>
        <w:bidi w:val="0"/>
        <w:spacing w:line="240" w:lineRule="auto"/>
        <w:ind w:left="420" w:leftChars="0" w:hanging="420" w:firstLineChars="0"/>
        <w:jc w:val="left"/>
        <w:textAlignment w:val="auto"/>
        <w:rPr>
          <w:rFonts w:hint="eastAsia" w:ascii="仿宋" w:hAnsi="仿宋" w:eastAsia="仿宋" w:cs="仿宋"/>
          <w:b/>
          <w:sz w:val="20"/>
          <w:szCs w:val="20"/>
          <w:lang w:eastAsia="zh-CN"/>
        </w:rPr>
      </w:pPr>
      <w:r>
        <w:rPr>
          <w:rFonts w:hint="eastAsia" w:ascii="仿宋" w:hAnsi="仿宋" w:eastAsia="仿宋" w:cs="仿宋"/>
          <w:b/>
          <w:sz w:val="20"/>
          <w:szCs w:val="20"/>
          <w:lang w:eastAsia="zh-CN"/>
        </w:rPr>
        <w:t>项目背景介绍：</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为大力推动中国高校国际化人才培养，提高中国高校学生在读期间出国交流的国际化水平，应部分中国高校提议，西班牙公立大学于2024-2025学年度向中国合作院校开放部分英语授课本科学分课程（原为欧盟交换生Erasmus学分课程），欢迎有兴趣了解欧洲文化、西语国家多元文化，且有能力用英语完成部分学分学习的学子赴西班牙交流访学1学期或1学年。</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kern w:val="0"/>
          <w:sz w:val="20"/>
          <w:szCs w:val="20"/>
          <w:lang w:val="en-US" w:eastAsia="zh-CN" w:bidi="ar-SA"/>
        </w:rPr>
      </w:pP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西班牙为欧洲高福利国家之一，排名优异的大学均为公立大学，享受欧盟政府及西班牙本国政府教育补贴，学生无需支付学费，仅需支付注册费，学生在西班牙交流学期期间的学费及衣食住行成本总计仅为5-6万人民币/学期，同时学生在西班牙交流期间可以通行游历申根27国，既切实实现开阔国际视野，培养人文素养的人才培养目标，又可减轻中国家庭人才培养压力。完成交流学习后，有兴趣继续在西班牙深造的同学未来可以选择在西班牙直研，西班牙硕士为1年制（英语或西语授课），回国后学位受中国教育部认可，可用于求职、考公务员及北上广落户。</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sz w:val="20"/>
          <w:szCs w:val="20"/>
          <w:lang w:eastAsia="zh-CN"/>
        </w:rPr>
      </w:pPr>
    </w:p>
    <w:p>
      <w:pPr>
        <w:keepNext w:val="0"/>
        <w:keepLines w:val="0"/>
        <w:pageBreakBefore w:val="0"/>
        <w:numPr>
          <w:ilvl w:val="0"/>
          <w:numId w:val="1"/>
        </w:numPr>
        <w:kinsoku/>
        <w:wordWrap/>
        <w:overflowPunct/>
        <w:topLinePunct w:val="0"/>
        <w:bidi w:val="0"/>
        <w:spacing w:line="240" w:lineRule="auto"/>
        <w:ind w:left="420" w:leftChars="0" w:hanging="420" w:firstLineChars="0"/>
        <w:jc w:val="left"/>
        <w:textAlignment w:val="auto"/>
        <w:rPr>
          <w:rFonts w:hint="eastAsia" w:ascii="仿宋" w:hAnsi="仿宋" w:eastAsia="仿宋" w:cs="仿宋"/>
          <w:b/>
          <w:sz w:val="20"/>
          <w:szCs w:val="20"/>
          <w:lang w:eastAsia="zh-CN"/>
        </w:rPr>
      </w:pPr>
      <w:r>
        <w:rPr>
          <w:rFonts w:hint="eastAsia" w:ascii="仿宋" w:hAnsi="仿宋" w:eastAsia="仿宋" w:cs="仿宋"/>
          <w:b/>
          <w:sz w:val="20"/>
          <w:szCs w:val="20"/>
          <w:lang w:eastAsia="zh-CN"/>
        </w:rPr>
        <w:t>院校简介：</w:t>
      </w:r>
    </w:p>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jc w:val="left"/>
        <w:textAlignment w:val="auto"/>
        <w:outlineLvl w:val="9"/>
        <w:rPr>
          <w:rFonts w:hint="eastAsia" w:ascii="仿宋" w:hAnsi="仿宋" w:eastAsia="仿宋" w:cs="仿宋"/>
          <w:kern w:val="0"/>
          <w:sz w:val="20"/>
          <w:szCs w:val="20"/>
        </w:rPr>
      </w:pPr>
      <w:r>
        <w:rPr>
          <w:rFonts w:hint="eastAsia" w:ascii="仿宋" w:hAnsi="仿宋" w:eastAsia="仿宋" w:cs="仿宋"/>
          <w:kern w:val="0"/>
          <w:sz w:val="20"/>
          <w:szCs w:val="20"/>
        </w:rPr>
        <w:t>萨拉戈萨大学位于萨拉戈萨市中心，成立于1542年，是一所拥有</w:t>
      </w:r>
      <w:r>
        <w:rPr>
          <w:rFonts w:hint="eastAsia" w:ascii="仿宋" w:hAnsi="仿宋" w:eastAsia="仿宋" w:cs="仿宋"/>
          <w:kern w:val="0"/>
          <w:sz w:val="20"/>
          <w:szCs w:val="20"/>
          <w:lang w:eastAsia="zh-CN"/>
        </w:rPr>
        <w:t>近</w:t>
      </w:r>
      <w:r>
        <w:rPr>
          <w:rFonts w:hint="eastAsia" w:ascii="仿宋" w:hAnsi="仿宋" w:eastAsia="仿宋" w:cs="仿宋"/>
          <w:kern w:val="0"/>
          <w:sz w:val="20"/>
          <w:szCs w:val="20"/>
        </w:rPr>
        <w:t>500年历史的西班牙著名公立大学。该大学是西班牙教育部直属的9所最重要的大学之一。萨拉戈萨大学的国际交流，学生互换是活跃度最高的西班牙大学之一，学校拥有众多的国际交流项目使大学每年有近4%的学生可以通过ERASMUS欧盟国家校际交流项目，Leonardo北美交流项目以及和拉美，澳大利亚以及南非的交流项目出国进行校际交流。2008年“水与可持续发展”主题的世界博览会举办地。</w:t>
      </w:r>
    </w:p>
    <w:p>
      <w:pPr>
        <w:keepNext w:val="0"/>
        <w:keepLines w:val="0"/>
        <w:pageBreakBefore w:val="0"/>
        <w:kinsoku/>
        <w:wordWrap/>
        <w:overflowPunct/>
        <w:topLinePunct w:val="0"/>
        <w:autoSpaceDE w:val="0"/>
        <w:autoSpaceDN w:val="0"/>
        <w:bidi w:val="0"/>
        <w:adjustRightInd w:val="0"/>
        <w:snapToGrid w:val="0"/>
        <w:spacing w:line="240" w:lineRule="auto"/>
        <w:jc w:val="left"/>
        <w:textAlignment w:val="auto"/>
        <w:outlineLvl w:val="9"/>
        <w:rPr>
          <w:rFonts w:hint="eastAsia" w:ascii="仿宋" w:hAnsi="仿宋" w:eastAsia="仿宋" w:cs="仿宋"/>
          <w:b/>
          <w:bCs/>
          <w:kern w:val="0"/>
          <w:sz w:val="20"/>
          <w:szCs w:val="20"/>
          <w:lang w:eastAsia="zh-CN"/>
        </w:rPr>
      </w:pPr>
    </w:p>
    <w:p>
      <w:pPr>
        <w:keepNext w:val="0"/>
        <w:keepLines w:val="0"/>
        <w:pageBreakBefore w:val="0"/>
        <w:numPr>
          <w:ilvl w:val="0"/>
          <w:numId w:val="1"/>
        </w:numPr>
        <w:kinsoku/>
        <w:wordWrap/>
        <w:overflowPunct/>
        <w:topLinePunct w:val="0"/>
        <w:bidi w:val="0"/>
        <w:spacing w:line="240" w:lineRule="auto"/>
        <w:ind w:left="420" w:leftChars="0" w:hanging="420" w:firstLineChars="0"/>
        <w:jc w:val="left"/>
        <w:textAlignment w:val="auto"/>
        <w:rPr>
          <w:rFonts w:hint="eastAsia" w:ascii="仿宋" w:hAnsi="仿宋" w:eastAsia="仿宋" w:cs="仿宋"/>
          <w:b/>
          <w:sz w:val="20"/>
          <w:szCs w:val="20"/>
          <w:lang w:eastAsia="zh-CN"/>
        </w:rPr>
      </w:pPr>
      <w:r>
        <w:rPr>
          <w:rFonts w:hint="eastAsia" w:ascii="仿宋" w:hAnsi="仿宋" w:eastAsia="仿宋" w:cs="仿宋"/>
          <w:b/>
          <w:sz w:val="20"/>
          <w:szCs w:val="20"/>
          <w:lang w:eastAsia="zh-CN"/>
        </w:rPr>
        <w:t>选择萨拉戈萨大学的重要原因：</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微软雅黑" w:hAnsi="微软雅黑" w:eastAsia="微软雅黑" w:cs="微软雅黑"/>
          <w:color w:val="auto"/>
          <w:kern w:val="0"/>
          <w:sz w:val="21"/>
          <w:szCs w:val="21"/>
          <w:lang w:eastAsia="zh-CN"/>
        </w:rPr>
        <w:t></w:t>
      </w:r>
      <w:r>
        <w:rPr>
          <w:rFonts w:hint="eastAsia" w:ascii="仿宋" w:hAnsi="仿宋" w:eastAsia="仿宋" w:cs="仿宋"/>
          <w:kern w:val="0"/>
          <w:sz w:val="20"/>
          <w:szCs w:val="20"/>
          <w:lang w:val="en-US" w:eastAsia="zh-CN" w:bidi="ar-SA"/>
        </w:rPr>
        <w:t>成立于1542年，西班牙教育部直属的9所大学之一；自2003年起位列上海软科世界大学学术排名世界500强大学之列，名列</w:t>
      </w:r>
      <w:r>
        <w:rPr>
          <w:rFonts w:hint="eastAsia" w:ascii="仿宋" w:hAnsi="仿宋" w:eastAsia="仿宋" w:cs="仿宋"/>
          <w:b/>
          <w:bCs/>
          <w:color w:val="C00000"/>
          <w:kern w:val="0"/>
          <w:sz w:val="20"/>
          <w:szCs w:val="20"/>
          <w:lang w:val="en-US" w:eastAsia="zh-CN" w:bidi="ar-SA"/>
        </w:rPr>
        <w:t>世界大学排名前2%</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1906年医学院教授</w:t>
      </w:r>
      <w:r>
        <w:rPr>
          <w:rFonts w:hint="eastAsia" w:ascii="仿宋" w:hAnsi="仿宋" w:eastAsia="仿宋" w:cs="仿宋"/>
          <w:b/>
          <w:bCs/>
          <w:color w:val="C00000"/>
          <w:kern w:val="0"/>
          <w:sz w:val="20"/>
          <w:szCs w:val="20"/>
          <w:lang w:val="en-US" w:eastAsia="zh-CN" w:bidi="ar-SA"/>
        </w:rPr>
        <w:t>拉蒙-卡哈尔</w:t>
      </w:r>
      <w:r>
        <w:rPr>
          <w:rFonts w:hint="eastAsia" w:ascii="仿宋" w:hAnsi="仿宋" w:eastAsia="仿宋" w:cs="仿宋"/>
          <w:kern w:val="0"/>
          <w:sz w:val="20"/>
          <w:szCs w:val="20"/>
          <w:lang w:val="en-US" w:eastAsia="zh-CN" w:bidi="ar-SA"/>
        </w:rPr>
        <w:t>因其对</w:t>
      </w:r>
      <w:r>
        <w:rPr>
          <w:rFonts w:hint="eastAsia" w:ascii="仿宋" w:hAnsi="仿宋" w:eastAsia="仿宋" w:cs="仿宋"/>
          <w:b/>
          <w:bCs/>
          <w:color w:val="C00000"/>
          <w:kern w:val="0"/>
          <w:sz w:val="20"/>
          <w:szCs w:val="20"/>
          <w:lang w:val="en-US" w:eastAsia="zh-CN" w:bidi="ar-SA"/>
        </w:rPr>
        <w:t>神经元</w:t>
      </w:r>
      <w:r>
        <w:rPr>
          <w:rFonts w:hint="eastAsia" w:ascii="仿宋" w:hAnsi="仿宋" w:eastAsia="仿宋" w:cs="仿宋"/>
          <w:kern w:val="0"/>
          <w:sz w:val="20"/>
          <w:szCs w:val="20"/>
          <w:lang w:val="en-US" w:eastAsia="zh-CN" w:bidi="ar-SA"/>
        </w:rPr>
        <w:t>的发现为西班牙拿下</w:t>
      </w:r>
      <w:r>
        <w:rPr>
          <w:rFonts w:hint="eastAsia" w:ascii="仿宋" w:hAnsi="仿宋" w:eastAsia="仿宋" w:cs="仿宋"/>
          <w:b/>
          <w:bCs/>
          <w:color w:val="C00000"/>
          <w:kern w:val="0"/>
          <w:sz w:val="20"/>
          <w:szCs w:val="20"/>
          <w:lang w:val="en-US" w:eastAsia="zh-CN" w:bidi="ar-SA"/>
        </w:rPr>
        <w:t>第一座诺贝尔医学奖</w:t>
      </w:r>
      <w:r>
        <w:rPr>
          <w:rFonts w:hint="eastAsia" w:ascii="仿宋" w:hAnsi="仿宋" w:eastAsia="仿宋" w:cs="仿宋"/>
          <w:kern w:val="0"/>
          <w:sz w:val="20"/>
          <w:szCs w:val="20"/>
          <w:lang w:val="en-US" w:eastAsia="zh-CN" w:bidi="ar-SA"/>
        </w:rPr>
        <w:t>，并曾邀请</w:t>
      </w:r>
      <w:r>
        <w:rPr>
          <w:rFonts w:hint="eastAsia" w:ascii="仿宋" w:hAnsi="仿宋" w:eastAsia="仿宋" w:cs="仿宋"/>
          <w:b/>
          <w:bCs/>
          <w:color w:val="C00000"/>
          <w:kern w:val="0"/>
          <w:sz w:val="20"/>
          <w:szCs w:val="20"/>
          <w:lang w:val="en-US" w:eastAsia="zh-CN" w:bidi="ar-SA"/>
        </w:rPr>
        <w:t>爱因斯坦到萨拉戈萨大学讲学</w:t>
      </w:r>
      <w:r>
        <w:rPr>
          <w:rFonts w:hint="eastAsia" w:ascii="仿宋" w:hAnsi="仿宋" w:eastAsia="仿宋" w:cs="仿宋"/>
          <w:kern w:val="0"/>
          <w:sz w:val="20"/>
          <w:szCs w:val="20"/>
          <w:lang w:val="en-US" w:eastAsia="zh-CN" w:bidi="ar-SA"/>
        </w:rPr>
        <w:t>。</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西班牙教学科研综合排名第七，专利回报全国第二</w:t>
      </w:r>
      <w:r>
        <w:rPr>
          <w:rFonts w:hint="eastAsia" w:ascii="仿宋" w:hAnsi="仿宋" w:eastAsia="仿宋" w:cs="仿宋"/>
          <w:kern w:val="0"/>
          <w:sz w:val="20"/>
          <w:szCs w:val="20"/>
          <w:lang w:val="en-US" w:eastAsia="zh-CN" w:bidi="ar-SA"/>
        </w:rPr>
        <w:t xml:space="preserve">，在西班牙国家经济发展部认可的29个国家重点实验室中，有4个位于萨拉戈萨大学，分别为：坎夫兰克地下实验室、超级计算机实验室，高级显微镜实验室，纳米材料生物医药研发实验室 </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小型家用电器研发全球排名第二</w:t>
      </w:r>
      <w:r>
        <w:rPr>
          <w:rFonts w:hint="eastAsia" w:ascii="仿宋" w:hAnsi="仿宋" w:eastAsia="仿宋" w:cs="仿宋"/>
          <w:kern w:val="0"/>
          <w:sz w:val="20"/>
          <w:szCs w:val="20"/>
          <w:lang w:val="en-US" w:eastAsia="zh-CN" w:bidi="ar-SA"/>
        </w:rPr>
        <w:t>，仅次于加州大学各分校的联盟</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2022年软科全球大学排名401-500；</w:t>
      </w:r>
      <w:r>
        <w:rPr>
          <w:rFonts w:hint="eastAsia" w:ascii="仿宋" w:hAnsi="仿宋" w:eastAsia="仿宋" w:cs="仿宋"/>
          <w:b/>
          <w:bCs/>
          <w:color w:val="C00000"/>
          <w:kern w:val="0"/>
          <w:sz w:val="20"/>
          <w:szCs w:val="20"/>
          <w:lang w:val="en-US" w:eastAsia="zh-CN" w:bidi="ar-SA"/>
        </w:rPr>
        <w:t>2023年QS世界大学排名与华东师范大学排名同</w:t>
      </w:r>
      <w:r>
        <w:rPr>
          <w:rFonts w:hint="eastAsia" w:ascii="仿宋" w:hAnsi="仿宋" w:eastAsia="仿宋" w:cs="仿宋"/>
          <w:kern w:val="0"/>
          <w:sz w:val="20"/>
          <w:szCs w:val="20"/>
          <w:lang w:val="en-US" w:eastAsia="zh-CN" w:bidi="ar-SA"/>
        </w:rPr>
        <w:t>；2024年QS全球大学排名位列No.523位</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全球100强专业</w:t>
      </w:r>
      <w:r>
        <w:rPr>
          <w:rFonts w:hint="eastAsia" w:ascii="仿宋" w:hAnsi="仿宋" w:eastAsia="仿宋" w:cs="仿宋"/>
          <w:kern w:val="0"/>
          <w:sz w:val="20"/>
          <w:szCs w:val="20"/>
          <w:lang w:val="en-US" w:eastAsia="zh-CN" w:bidi="ar-SA"/>
        </w:rPr>
        <w:t>：食品科学技术全球第47位，兽医学世界前75名</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旅游酒店管理 全球前150名</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世界前200名专业：</w:t>
      </w:r>
      <w:r>
        <w:rPr>
          <w:rFonts w:hint="eastAsia" w:ascii="仿宋" w:hAnsi="仿宋" w:eastAsia="仿宋" w:cs="仿宋"/>
          <w:kern w:val="0"/>
          <w:sz w:val="20"/>
          <w:szCs w:val="20"/>
          <w:lang w:val="en-US" w:eastAsia="zh-CN" w:bidi="ar-SA"/>
        </w:rPr>
        <w:t>材料科学、纳米科学、生物医学工程、化学</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w:t>
      </w:r>
      <w:r>
        <w:rPr>
          <w:rFonts w:hint="eastAsia" w:ascii="仿宋" w:hAnsi="仿宋" w:eastAsia="仿宋" w:cs="仿宋"/>
          <w:b/>
          <w:bCs/>
          <w:color w:val="C00000"/>
          <w:kern w:val="0"/>
          <w:sz w:val="20"/>
          <w:szCs w:val="20"/>
          <w:lang w:val="en-US" w:eastAsia="zh-CN" w:bidi="ar-SA"/>
        </w:rPr>
        <w:t>世界前300名专业：</w:t>
      </w:r>
      <w:r>
        <w:rPr>
          <w:rFonts w:hint="eastAsia" w:ascii="仿宋" w:hAnsi="仿宋" w:eastAsia="仿宋" w:cs="仿宋"/>
          <w:kern w:val="0"/>
          <w:sz w:val="20"/>
          <w:szCs w:val="20"/>
          <w:lang w:val="en-US" w:eastAsia="zh-CN" w:bidi="ar-SA"/>
        </w:rPr>
        <w:t>计算机科学、机械工程、地球科学、农业、化学工程、电子工程、数学、物理及天文学、经济学、法学、现代语言学</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麻省理工学院物流及供应链管理硕士欧洲唯一教学点，西班牙单科第一</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第一所开设对外西班牙语课程的西班牙大学（1927年）</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西班牙教育部塞万提斯学院认证的语言教学中心，DELE/SIELE考点</w:t>
      </w:r>
    </w:p>
    <w:p>
      <w:pPr>
        <w:keepNext w:val="0"/>
        <w:keepLines w:val="0"/>
        <w:pageBreakBefore w:val="0"/>
        <w:numPr>
          <w:ilvl w:val="0"/>
          <w:numId w:val="2"/>
        </w:numPr>
        <w:tabs>
          <w:tab w:val="left" w:pos="0"/>
        </w:tabs>
        <w:kinsoku/>
        <w:wordWrap/>
        <w:overflowPunct/>
        <w:topLinePunct w:val="0"/>
        <w:autoSpaceDE w:val="0"/>
        <w:autoSpaceDN w:val="0"/>
        <w:bidi w:val="0"/>
        <w:adjustRightInd w:val="0"/>
        <w:snapToGrid w:val="0"/>
        <w:spacing w:line="240" w:lineRule="atLeast"/>
        <w:ind w:left="420" w:leftChars="0" w:hanging="420" w:firstLineChars="0"/>
        <w:jc w:val="left"/>
        <w:textAlignment w:val="auto"/>
        <w:outlineLvl w:val="9"/>
        <w:rPr>
          <w:rFonts w:hint="eastAsia" w:ascii="仿宋" w:hAnsi="仿宋" w:eastAsia="仿宋" w:cs="仿宋"/>
          <w:b/>
          <w:bCs/>
          <w:color w:val="C00000"/>
          <w:kern w:val="0"/>
          <w:sz w:val="20"/>
          <w:szCs w:val="20"/>
          <w:lang w:val="en-US" w:eastAsia="zh-CN" w:bidi="ar-SA"/>
        </w:rPr>
      </w:pPr>
      <w:r>
        <w:rPr>
          <w:rFonts w:hint="eastAsia" w:ascii="仿宋" w:hAnsi="仿宋" w:eastAsia="仿宋" w:cs="仿宋"/>
          <w:kern w:val="0"/>
          <w:sz w:val="20"/>
          <w:szCs w:val="20"/>
          <w:lang w:val="en-US" w:eastAsia="zh-CN" w:bidi="ar-SA"/>
        </w:rPr>
        <w:t>如今每年接受来自世界上70多个国家的超过</w:t>
      </w:r>
      <w:r>
        <w:rPr>
          <w:rFonts w:hint="eastAsia" w:ascii="仿宋" w:hAnsi="仿宋" w:eastAsia="仿宋" w:cs="仿宋"/>
          <w:b/>
          <w:bCs/>
          <w:color w:val="C00000"/>
          <w:kern w:val="0"/>
          <w:sz w:val="20"/>
          <w:szCs w:val="20"/>
          <w:lang w:val="en-US" w:eastAsia="zh-CN" w:bidi="ar-SA"/>
        </w:rPr>
        <w:t>2000名国际学生学习，国际化程度高</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sz w:val="20"/>
          <w:szCs w:val="20"/>
          <w:lang w:eastAsia="zh-CN"/>
        </w:rPr>
      </w:pP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sz w:val="20"/>
          <w:szCs w:val="20"/>
          <w:lang w:eastAsia="zh-CN"/>
        </w:rPr>
      </w:pPr>
    </w:p>
    <w:p>
      <w:pPr>
        <w:keepNext w:val="0"/>
        <w:keepLines w:val="0"/>
        <w:pageBreakBefore w:val="0"/>
        <w:numPr>
          <w:ilvl w:val="0"/>
          <w:numId w:val="0"/>
        </w:numPr>
        <w:tabs>
          <w:tab w:val="left" w:pos="0"/>
        </w:tabs>
        <w:kinsoku/>
        <w:wordWrap/>
        <w:overflowPunct/>
        <w:topLinePunct w:val="0"/>
        <w:autoSpaceDE w:val="0"/>
        <w:autoSpaceDN w:val="0"/>
        <w:bidi w:val="0"/>
        <w:adjustRightInd w:val="0"/>
        <w:snapToGrid w:val="0"/>
        <w:spacing w:line="240" w:lineRule="auto"/>
        <w:ind w:leftChars="0"/>
        <w:jc w:val="left"/>
        <w:textAlignment w:val="auto"/>
        <w:outlineLvl w:val="9"/>
        <w:rPr>
          <w:rFonts w:hint="eastAsia" w:ascii="仿宋" w:hAnsi="仿宋" w:eastAsia="仿宋" w:cs="仿宋"/>
          <w:kern w:val="0"/>
          <w:sz w:val="20"/>
          <w:szCs w:val="20"/>
          <w:lang w:eastAsia="zh-CN"/>
        </w:rPr>
      </w:pPr>
    </w:p>
    <w:tbl>
      <w:tblPr>
        <w:tblStyle w:val="6"/>
        <w:tblW w:w="99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81"/>
        <w:gridCol w:w="4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keepNext w:val="0"/>
              <w:keepLines w:val="0"/>
              <w:pageBreakBefore w:val="0"/>
              <w:numPr>
                <w:ilvl w:val="0"/>
                <w:numId w:val="0"/>
              </w:numPr>
              <w:tabs>
                <w:tab w:val="left" w:pos="0"/>
              </w:tabs>
              <w:kinsoku/>
              <w:wordWrap/>
              <w:overflowPunct/>
              <w:topLinePunct w:val="0"/>
              <w:autoSpaceDE w:val="0"/>
              <w:autoSpaceDN w:val="0"/>
              <w:bidi w:val="0"/>
              <w:adjustRightInd w:val="0"/>
              <w:snapToGrid w:val="0"/>
              <w:spacing w:line="240" w:lineRule="auto"/>
              <w:jc w:val="left"/>
              <w:textAlignment w:val="auto"/>
              <w:outlineLvl w:val="9"/>
              <w:rPr>
                <w:rFonts w:hint="eastAsia" w:ascii="仿宋" w:hAnsi="仿宋" w:eastAsia="仿宋" w:cs="仿宋"/>
                <w:kern w:val="0"/>
                <w:sz w:val="20"/>
                <w:szCs w:val="20"/>
                <w:vertAlign w:val="baseline"/>
                <w:lang w:eastAsia="zh-CN"/>
              </w:rPr>
            </w:pPr>
            <w:r>
              <w:rPr>
                <w:rFonts w:hint="eastAsia" w:ascii="仿宋" w:hAnsi="仿宋" w:eastAsia="仿宋" w:cs="仿宋"/>
                <w:b/>
                <w:kern w:val="0"/>
                <w:sz w:val="20"/>
                <w:szCs w:val="20"/>
              </w:rPr>
              <w:drawing>
                <wp:inline distT="0" distB="0" distL="0" distR="0">
                  <wp:extent cx="3005455" cy="2065655"/>
                  <wp:effectExtent l="0" t="0" r="4445" b="10795"/>
                  <wp:docPr id="17" name="图片 6" descr="C:\Users\Administrator\Desktop\paraninfo.jpgparan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C:\Users\Administrator\Desktop\paraninfo.jpgparaninfo"/>
                          <pic:cNvPicPr>
                            <a:picLocks noChangeAspect="1"/>
                          </pic:cNvPicPr>
                        </pic:nvPicPr>
                        <pic:blipFill>
                          <a:blip r:embed="rId6"/>
                          <a:srcRect/>
                          <a:stretch>
                            <a:fillRect/>
                          </a:stretch>
                        </pic:blipFill>
                        <pic:spPr>
                          <a:xfrm>
                            <a:off x="0" y="0"/>
                            <a:ext cx="3005455" cy="2065655"/>
                          </a:xfrm>
                          <a:prstGeom prst="rect">
                            <a:avLst/>
                          </a:prstGeom>
                        </pic:spPr>
                      </pic:pic>
                    </a:graphicData>
                  </a:graphic>
                </wp:inline>
              </w:drawing>
            </w:r>
          </w:p>
        </w:tc>
        <w:tc>
          <w:tcPr>
            <w:tcW w:w="4981" w:type="dxa"/>
          </w:tcPr>
          <w:p>
            <w:pPr>
              <w:keepNext w:val="0"/>
              <w:keepLines w:val="0"/>
              <w:pageBreakBefore w:val="0"/>
              <w:numPr>
                <w:ilvl w:val="0"/>
                <w:numId w:val="0"/>
              </w:numPr>
              <w:tabs>
                <w:tab w:val="left" w:pos="0"/>
              </w:tabs>
              <w:kinsoku/>
              <w:wordWrap/>
              <w:overflowPunct/>
              <w:topLinePunct w:val="0"/>
              <w:autoSpaceDE w:val="0"/>
              <w:autoSpaceDN w:val="0"/>
              <w:bidi w:val="0"/>
              <w:adjustRightInd w:val="0"/>
              <w:snapToGrid w:val="0"/>
              <w:spacing w:line="240" w:lineRule="auto"/>
              <w:jc w:val="left"/>
              <w:textAlignment w:val="auto"/>
              <w:outlineLvl w:val="9"/>
              <w:rPr>
                <w:rFonts w:hint="eastAsia" w:ascii="仿宋" w:hAnsi="仿宋" w:eastAsia="仿宋" w:cs="仿宋"/>
                <w:kern w:val="0"/>
                <w:sz w:val="20"/>
                <w:szCs w:val="20"/>
                <w:vertAlign w:val="baseline"/>
                <w:lang w:eastAsia="zh-CN"/>
              </w:rPr>
            </w:pPr>
            <w:r>
              <w:rPr>
                <w:rFonts w:hint="eastAsia" w:ascii="仿宋" w:hAnsi="仿宋" w:eastAsia="仿宋" w:cs="仿宋"/>
                <w:sz w:val="20"/>
                <w:szCs w:val="20"/>
              </w:rPr>
              <w:drawing>
                <wp:inline distT="0" distB="0" distL="114300" distR="114300">
                  <wp:extent cx="3110865" cy="2069465"/>
                  <wp:effectExtent l="0" t="0" r="13335" b="6985"/>
                  <wp:docPr id="11" name="图片 7" descr="0512_1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0512_1g.jpg"/>
                          <pic:cNvPicPr>
                            <a:picLocks noChangeAspect="1"/>
                          </pic:cNvPicPr>
                        </pic:nvPicPr>
                        <pic:blipFill>
                          <a:blip r:embed="rId7"/>
                          <a:stretch>
                            <a:fillRect/>
                          </a:stretch>
                        </pic:blipFill>
                        <pic:spPr>
                          <a:xfrm>
                            <a:off x="0" y="0"/>
                            <a:ext cx="3110865" cy="2069465"/>
                          </a:xfrm>
                          <a:prstGeom prst="rect">
                            <a:avLst/>
                          </a:prstGeom>
                        </pic:spPr>
                      </pic:pic>
                    </a:graphicData>
                  </a:graphic>
                </wp:inline>
              </w:drawing>
            </w:r>
          </w:p>
        </w:tc>
      </w:tr>
    </w:tbl>
    <w:p>
      <w:pPr>
        <w:keepNext w:val="0"/>
        <w:keepLines w:val="0"/>
        <w:pageBreakBefore w:val="0"/>
        <w:numPr>
          <w:ilvl w:val="0"/>
          <w:numId w:val="0"/>
        </w:numPr>
        <w:tabs>
          <w:tab w:val="left" w:pos="0"/>
        </w:tabs>
        <w:kinsoku/>
        <w:wordWrap/>
        <w:overflowPunct/>
        <w:topLinePunct w:val="0"/>
        <w:autoSpaceDE w:val="0"/>
        <w:autoSpaceDN w:val="0"/>
        <w:bidi w:val="0"/>
        <w:adjustRightInd w:val="0"/>
        <w:snapToGrid w:val="0"/>
        <w:spacing w:line="240" w:lineRule="auto"/>
        <w:ind w:leftChars="0"/>
        <w:jc w:val="left"/>
        <w:textAlignment w:val="auto"/>
        <w:outlineLvl w:val="9"/>
        <w:rPr>
          <w:rFonts w:hint="eastAsia" w:ascii="仿宋" w:hAnsi="仿宋" w:eastAsia="仿宋" w:cs="仿宋"/>
          <w:kern w:val="0"/>
          <w:sz w:val="20"/>
          <w:szCs w:val="20"/>
          <w:lang w:eastAsia="zh-CN"/>
        </w:rPr>
      </w:pPr>
    </w:p>
    <w:p>
      <w:pPr>
        <w:keepNext w:val="0"/>
        <w:keepLines w:val="0"/>
        <w:pageBreakBefore w:val="0"/>
        <w:widowControl w:val="0"/>
        <w:numPr>
          <w:ilvl w:val="0"/>
          <w:numId w:val="0"/>
        </w:numPr>
        <w:kinsoku/>
        <w:wordWrap/>
        <w:overflowPunct/>
        <w:topLinePunct w:val="0"/>
        <w:bidi w:val="0"/>
        <w:spacing w:line="240" w:lineRule="auto"/>
        <w:jc w:val="left"/>
        <w:textAlignment w:val="auto"/>
        <w:rPr>
          <w:rFonts w:hint="eastAsia" w:ascii="仿宋" w:hAnsi="仿宋" w:eastAsia="仿宋" w:cs="仿宋"/>
          <w:b/>
          <w:sz w:val="20"/>
          <w:szCs w:val="20"/>
          <w:lang w:eastAsia="zh-CN"/>
        </w:rPr>
      </w:pPr>
    </w:p>
    <w:p>
      <w:pPr>
        <w:keepNext w:val="0"/>
        <w:keepLines w:val="0"/>
        <w:pageBreakBefore w:val="0"/>
        <w:numPr>
          <w:ilvl w:val="0"/>
          <w:numId w:val="1"/>
        </w:numPr>
        <w:kinsoku/>
        <w:wordWrap/>
        <w:overflowPunct/>
        <w:topLinePunct w:val="0"/>
        <w:bidi w:val="0"/>
        <w:spacing w:line="240" w:lineRule="auto"/>
        <w:jc w:val="left"/>
        <w:textAlignment w:val="auto"/>
        <w:rPr>
          <w:rFonts w:hint="eastAsia" w:ascii="仿宋" w:hAnsi="仿宋" w:eastAsia="仿宋" w:cs="仿宋"/>
          <w:b/>
          <w:sz w:val="20"/>
          <w:szCs w:val="20"/>
        </w:rPr>
      </w:pPr>
      <w:r>
        <w:rPr>
          <w:rFonts w:hint="eastAsia" w:ascii="仿宋" w:hAnsi="仿宋" w:eastAsia="仿宋" w:cs="仿宋"/>
          <w:b/>
          <w:sz w:val="20"/>
          <w:szCs w:val="20"/>
          <w:lang w:val="en-US" w:eastAsia="zh-CN"/>
        </w:rPr>
        <w:t>英语学分课程（交流生项目）</w:t>
      </w:r>
      <w:r>
        <w:rPr>
          <w:rFonts w:hint="eastAsia" w:ascii="仿宋" w:hAnsi="仿宋" w:eastAsia="仿宋" w:cs="仿宋"/>
          <w:b/>
          <w:sz w:val="20"/>
          <w:szCs w:val="20"/>
        </w:rPr>
        <w:t>：</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sz w:val="20"/>
          <w:szCs w:val="20"/>
        </w:rPr>
      </w:pPr>
    </w:p>
    <w:p>
      <w:pPr>
        <w:keepNext w:val="0"/>
        <w:keepLines w:val="0"/>
        <w:pageBreakBefore w:val="0"/>
        <w:numPr>
          <w:ilvl w:val="0"/>
          <w:numId w:val="3"/>
        </w:numPr>
        <w:kinsoku/>
        <w:wordWrap/>
        <w:overflowPunct/>
        <w:topLinePunct w:val="0"/>
        <w:bidi w:val="0"/>
        <w:spacing w:line="240" w:lineRule="auto"/>
        <w:jc w:val="left"/>
        <w:textAlignment w:val="auto"/>
        <w:rPr>
          <w:rFonts w:hint="eastAsia" w:ascii="仿宋" w:hAnsi="仿宋" w:eastAsia="仿宋" w:cs="仿宋"/>
          <w:b/>
          <w:sz w:val="20"/>
          <w:szCs w:val="20"/>
          <w:lang w:val="es-ES"/>
        </w:rPr>
      </w:pPr>
      <w:r>
        <w:rPr>
          <w:rFonts w:hint="eastAsia" w:ascii="仿宋" w:hAnsi="仿宋" w:eastAsia="仿宋" w:cs="仿宋"/>
          <w:b/>
          <w:sz w:val="20"/>
          <w:szCs w:val="20"/>
        </w:rPr>
        <w:t>课程</w:t>
      </w:r>
      <w:r>
        <w:rPr>
          <w:rFonts w:hint="eastAsia" w:ascii="仿宋" w:hAnsi="仿宋" w:eastAsia="仿宋" w:cs="仿宋"/>
          <w:b/>
          <w:sz w:val="20"/>
          <w:szCs w:val="20"/>
          <w:lang w:val="en-US" w:eastAsia="zh-CN"/>
        </w:rPr>
        <w:t>时间及费用（每学期的总课时数为318-348课时）</w:t>
      </w:r>
    </w:p>
    <w:tbl>
      <w:tblPr>
        <w:tblStyle w:val="6"/>
        <w:tblW w:w="101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5145"/>
        <w:gridCol w:w="126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1"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学习时长</w:t>
            </w:r>
          </w:p>
        </w:tc>
        <w:tc>
          <w:tcPr>
            <w:tcW w:w="5145"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课程内容</w:t>
            </w:r>
          </w:p>
        </w:tc>
        <w:tc>
          <w:tcPr>
            <w:tcW w:w="1262" w:type="dxa"/>
            <w:vAlign w:val="top"/>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学费</w:t>
            </w:r>
          </w:p>
        </w:tc>
        <w:tc>
          <w:tcPr>
            <w:tcW w:w="1245"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注册费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1"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color w:val="FF0000"/>
                <w:sz w:val="20"/>
                <w:szCs w:val="20"/>
                <w:highlight w:val="none"/>
                <w:lang w:val="en-US" w:eastAsia="zh-CN"/>
              </w:rPr>
            </w:pPr>
            <w:r>
              <w:rPr>
                <w:rFonts w:hint="eastAsia" w:ascii="仿宋" w:hAnsi="仿宋" w:eastAsia="仿宋" w:cs="仿宋"/>
                <w:b/>
                <w:bCs w:val="0"/>
                <w:color w:val="FF0000"/>
                <w:sz w:val="20"/>
                <w:szCs w:val="20"/>
                <w:highlight w:val="none"/>
                <w:lang w:val="en-US" w:eastAsia="zh-CN"/>
              </w:rPr>
              <w:t>秋季学期（9月4日至2月6日）</w:t>
            </w:r>
          </w:p>
        </w:tc>
        <w:tc>
          <w:tcPr>
            <w:tcW w:w="51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color w:val="FF0000"/>
                <w:sz w:val="20"/>
                <w:szCs w:val="20"/>
                <w:lang w:val="en-US" w:eastAsia="zh-CN"/>
              </w:rPr>
            </w:pPr>
            <w:r>
              <w:rPr>
                <w:rFonts w:hint="eastAsia" w:ascii="仿宋" w:hAnsi="仿宋" w:eastAsia="仿宋" w:cs="仿宋"/>
                <w:b/>
                <w:bCs w:val="0"/>
                <w:color w:val="FF0000"/>
                <w:sz w:val="20"/>
                <w:szCs w:val="20"/>
                <w:lang w:val="en-US" w:eastAsia="zh-CN"/>
              </w:rPr>
              <w:t>1门西语课（必修）+3门英语授课专业课（自选）</w:t>
            </w:r>
          </w:p>
        </w:tc>
        <w:tc>
          <w:tcPr>
            <w:tcW w:w="1262"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color w:val="FF0000"/>
                <w:sz w:val="20"/>
                <w:szCs w:val="20"/>
                <w:lang w:val="en-US" w:eastAsia="zh-CN"/>
              </w:rPr>
            </w:pPr>
            <w:r>
              <w:rPr>
                <w:rFonts w:hint="eastAsia" w:ascii="仿宋" w:hAnsi="仿宋" w:eastAsia="仿宋" w:cs="仿宋"/>
                <w:b/>
                <w:bCs w:val="0"/>
                <w:color w:val="FF0000"/>
                <w:sz w:val="20"/>
                <w:szCs w:val="20"/>
                <w:lang w:val="en-US" w:eastAsia="zh-CN"/>
              </w:rPr>
              <w:t>3500欧</w:t>
            </w:r>
          </w:p>
        </w:tc>
        <w:tc>
          <w:tcPr>
            <w:tcW w:w="12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color w:val="FF0000"/>
                <w:sz w:val="20"/>
                <w:szCs w:val="20"/>
                <w:lang w:val="en-US" w:eastAsia="zh-CN"/>
              </w:rPr>
            </w:pPr>
            <w:r>
              <w:rPr>
                <w:rFonts w:hint="eastAsia" w:ascii="仿宋" w:hAnsi="仿宋" w:eastAsia="仿宋" w:cs="仿宋"/>
                <w:b/>
                <w:bCs w:val="0"/>
                <w:color w:val="FF0000"/>
                <w:sz w:val="20"/>
                <w:szCs w:val="20"/>
                <w:lang w:val="en-US" w:eastAsia="zh-CN"/>
              </w:rPr>
              <w:t>2000元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1"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highlight w:val="none"/>
                <w:lang w:val="en-US" w:eastAsia="zh-CN"/>
              </w:rPr>
            </w:pPr>
            <w:r>
              <w:rPr>
                <w:rFonts w:hint="eastAsia" w:ascii="仿宋" w:hAnsi="仿宋" w:eastAsia="仿宋" w:cs="仿宋"/>
                <w:b w:val="0"/>
                <w:bCs/>
                <w:sz w:val="20"/>
                <w:szCs w:val="20"/>
                <w:highlight w:val="none"/>
                <w:lang w:val="en-US" w:eastAsia="zh-CN"/>
              </w:rPr>
              <w:t>春季学期（2月1日至6月底）</w:t>
            </w:r>
          </w:p>
        </w:tc>
        <w:tc>
          <w:tcPr>
            <w:tcW w:w="51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1门西语课（必修）+3门英语授课专业课（自选）</w:t>
            </w:r>
          </w:p>
        </w:tc>
        <w:tc>
          <w:tcPr>
            <w:tcW w:w="1262"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3500欧</w:t>
            </w:r>
          </w:p>
        </w:tc>
        <w:tc>
          <w:tcPr>
            <w:tcW w:w="12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2000元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1"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一学年交流课程</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（9月4日至次年6月底）</w:t>
            </w:r>
          </w:p>
        </w:tc>
        <w:tc>
          <w:tcPr>
            <w:tcW w:w="51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每学期1门基础西语课+3门英语授课专业课</w:t>
            </w:r>
          </w:p>
        </w:tc>
        <w:tc>
          <w:tcPr>
            <w:tcW w:w="1262"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6042欧</w:t>
            </w:r>
          </w:p>
        </w:tc>
        <w:tc>
          <w:tcPr>
            <w:tcW w:w="1245"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2000元</w:t>
            </w:r>
          </w:p>
        </w:tc>
      </w:tr>
    </w:tbl>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备注：</w:t>
      </w:r>
    </w:p>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 西班牙语零基础入门课的主要教学目标为西班牙语语言及文化的入门，以便帮助中国学生更好地适应本地生活；已有西语基础的同学在入学后进行分班考试，学校将按等级分班；对西语无等级要求；</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 有意向在西班牙进行西班牙语授课硕士申请的同学，有意掌握专业西班牙语的同学，可在进行交流课程申请时，专门向申请老师提出增加西班牙语课时（减少英语学分课）</w:t>
      </w:r>
    </w:p>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 课程日期及学费目前以萨大2023年校历及学费做为参考，最终信息应以学校的正式录取通知书及授课老师安排为准。</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sz w:val="20"/>
          <w:szCs w:val="20"/>
          <w:lang w:val="en-US" w:eastAsia="zh-CN"/>
        </w:rPr>
      </w:pP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sz w:val="20"/>
          <w:szCs w:val="20"/>
          <w:lang w:val="en-US" w:eastAsia="zh-CN"/>
        </w:rPr>
      </w:pPr>
      <w:r>
        <w:rPr>
          <w:rFonts w:hint="eastAsia" w:ascii="仿宋" w:hAnsi="仿宋" w:eastAsia="仿宋" w:cs="仿宋"/>
          <w:b/>
          <w:sz w:val="20"/>
          <w:szCs w:val="20"/>
          <w:lang w:val="en-US" w:eastAsia="zh-CN"/>
        </w:rPr>
        <w:t>可选英语学分课程参考</w:t>
      </w:r>
    </w:p>
    <w:tbl>
      <w:tblPr>
        <w:tblStyle w:val="6"/>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8"/>
        <w:gridCol w:w="826"/>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088"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课程名称</w:t>
            </w:r>
          </w:p>
        </w:tc>
        <w:tc>
          <w:tcPr>
            <w:tcW w:w="826"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ECTS学分</w:t>
            </w:r>
          </w:p>
        </w:tc>
        <w:tc>
          <w:tcPr>
            <w:tcW w:w="1867" w:type="dxa"/>
            <w:vAlign w:val="center"/>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 xml:space="preserve">Applied Econometrics </w:t>
            </w:r>
            <w:r>
              <w:rPr>
                <w:rFonts w:hint="eastAsia" w:ascii="仿宋" w:hAnsi="仿宋" w:eastAsia="仿宋" w:cs="仿宋"/>
                <w:b w:val="0"/>
                <w:bCs/>
                <w:sz w:val="20"/>
                <w:szCs w:val="20"/>
                <w:lang w:val="en-US" w:eastAsia="zh-CN"/>
              </w:rPr>
              <w:fldChar w:fldCharType="begin"/>
            </w:r>
            <w:r>
              <w:rPr>
                <w:rFonts w:hint="eastAsia" w:ascii="仿宋" w:hAnsi="仿宋" w:eastAsia="仿宋" w:cs="仿宋"/>
                <w:b w:val="0"/>
                <w:bCs/>
                <w:sz w:val="20"/>
                <w:szCs w:val="20"/>
                <w:lang w:val="en-US" w:eastAsia="zh-CN"/>
              </w:rPr>
              <w:instrText xml:space="preserve"> HYPERLINK "https://estudios.unizar.es/estudio/asignatura?anyo_academico=2022&amp;asignatura_id=27332&amp;estudio_id=20220131&amp;centro_id=109&amp;plan_id_nk=448" </w:instrText>
            </w:r>
            <w:r>
              <w:rPr>
                <w:rFonts w:hint="eastAsia" w:ascii="仿宋" w:hAnsi="仿宋" w:eastAsia="仿宋" w:cs="仿宋"/>
                <w:b w:val="0"/>
                <w:bCs/>
                <w:sz w:val="20"/>
                <w:szCs w:val="20"/>
                <w:lang w:val="en-US" w:eastAsia="zh-CN"/>
              </w:rPr>
              <w:fldChar w:fldCharType="separate"/>
            </w:r>
            <w:r>
              <w:rPr>
                <w:rFonts w:hint="eastAsia" w:ascii="仿宋" w:hAnsi="仿宋" w:eastAsia="仿宋" w:cs="仿宋"/>
                <w:b w:val="0"/>
                <w:bCs/>
                <w:sz w:val="20"/>
                <w:szCs w:val="20"/>
                <w:lang w:val="en-US" w:eastAsia="zh-CN"/>
              </w:rPr>
              <w:t>for Business</w:t>
            </w:r>
            <w:r>
              <w:rPr>
                <w:rFonts w:hint="eastAsia" w:ascii="仿宋" w:hAnsi="仿宋" w:eastAsia="仿宋" w:cs="仿宋"/>
                <w:b w:val="0"/>
                <w:bCs/>
                <w:sz w:val="20"/>
                <w:szCs w:val="20"/>
                <w:lang w:val="en-US" w:eastAsia="zh-CN"/>
              </w:rPr>
              <w:fldChar w:fldCharType="end"/>
            </w:r>
            <w:r>
              <w:rPr>
                <w:rFonts w:hint="eastAsia" w:ascii="仿宋" w:hAnsi="仿宋" w:eastAsia="仿宋" w:cs="仿宋"/>
                <w:b w:val="0"/>
                <w:bCs/>
                <w:sz w:val="20"/>
                <w:szCs w:val="20"/>
                <w:lang w:val="en-US" w:eastAsia="zh-CN"/>
              </w:rPr>
              <w:t>应用计量经济学</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Public Sector Accounting公共部门会计</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Business Decisions经营决策</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Social Economy Entities Management社会经济实体管理</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Business Innovation and Technological Change企业创新与技术变革</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fldChar w:fldCharType="begin"/>
            </w:r>
            <w:r>
              <w:rPr>
                <w:rFonts w:hint="eastAsia" w:ascii="仿宋" w:hAnsi="仿宋" w:eastAsia="仿宋" w:cs="仿宋"/>
                <w:b w:val="0"/>
                <w:bCs/>
                <w:sz w:val="20"/>
                <w:szCs w:val="20"/>
                <w:lang w:val="en-US" w:eastAsia="zh-CN"/>
              </w:rPr>
              <w:instrText xml:space="preserve"> HYPERLINK "https://estudios.unizar.es/estudio/asignatura?anyo_academico=2022&amp;asignatura_id=27339&amp;estudio_id=20220131&amp;centro_id=109&amp;plan_id_nk=448" </w:instrText>
            </w:r>
            <w:r>
              <w:rPr>
                <w:rFonts w:hint="eastAsia" w:ascii="仿宋" w:hAnsi="仿宋" w:eastAsia="仿宋" w:cs="仿宋"/>
                <w:b w:val="0"/>
                <w:bCs/>
                <w:sz w:val="20"/>
                <w:szCs w:val="20"/>
                <w:lang w:val="en-US" w:eastAsia="zh-CN"/>
              </w:rPr>
              <w:fldChar w:fldCharType="separate"/>
            </w:r>
            <w:r>
              <w:rPr>
                <w:rFonts w:hint="eastAsia" w:ascii="仿宋" w:hAnsi="仿宋" w:eastAsia="仿宋" w:cs="仿宋"/>
                <w:b w:val="0"/>
                <w:bCs/>
                <w:sz w:val="20"/>
                <w:szCs w:val="20"/>
                <w:lang w:val="en-US" w:eastAsia="zh-CN"/>
              </w:rPr>
              <w:t>Operative Research</w:t>
            </w:r>
            <w:r>
              <w:rPr>
                <w:rFonts w:hint="eastAsia" w:ascii="仿宋" w:hAnsi="仿宋" w:eastAsia="仿宋" w:cs="仿宋"/>
                <w:b w:val="0"/>
                <w:bCs/>
                <w:sz w:val="20"/>
                <w:szCs w:val="20"/>
                <w:lang w:val="en-US" w:eastAsia="zh-CN"/>
              </w:rPr>
              <w:fldChar w:fldCharType="end"/>
            </w:r>
            <w:r>
              <w:rPr>
                <w:rFonts w:hint="eastAsia" w:ascii="仿宋" w:hAnsi="仿宋" w:eastAsia="仿宋" w:cs="仿宋"/>
                <w:b w:val="0"/>
                <w:bCs/>
                <w:sz w:val="20"/>
                <w:szCs w:val="20"/>
                <w:lang w:val="en-US" w:eastAsia="zh-CN"/>
              </w:rPr>
              <w:t>运筹学</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Financial Markets 金融市场</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fldChar w:fldCharType="begin"/>
            </w:r>
            <w:r>
              <w:rPr>
                <w:rFonts w:hint="eastAsia" w:ascii="仿宋" w:hAnsi="仿宋" w:eastAsia="仿宋" w:cs="仿宋"/>
                <w:b w:val="0"/>
                <w:bCs/>
                <w:sz w:val="20"/>
                <w:szCs w:val="20"/>
                <w:lang w:val="en-US" w:eastAsia="zh-CN"/>
              </w:rPr>
              <w:instrText xml:space="preserve"> HYPERLINK "https://estudios.unizar.es/estudio/asignatura?anyo_academico=2022&amp;asignatura_id=27344&amp;estudio_id=20220131&amp;centro_id=109&amp;plan_id_nk=448" </w:instrText>
            </w:r>
            <w:r>
              <w:rPr>
                <w:rFonts w:hint="eastAsia" w:ascii="仿宋" w:hAnsi="仿宋" w:eastAsia="仿宋" w:cs="仿宋"/>
                <w:b w:val="0"/>
                <w:bCs/>
                <w:sz w:val="20"/>
                <w:szCs w:val="20"/>
                <w:lang w:val="en-US" w:eastAsia="zh-CN"/>
              </w:rPr>
              <w:fldChar w:fldCharType="separate"/>
            </w:r>
            <w:r>
              <w:rPr>
                <w:rFonts w:hint="eastAsia" w:ascii="仿宋" w:hAnsi="仿宋" w:eastAsia="仿宋" w:cs="仿宋"/>
                <w:b w:val="0"/>
                <w:bCs/>
                <w:sz w:val="20"/>
                <w:szCs w:val="20"/>
                <w:lang w:val="en-US" w:eastAsia="zh-CN"/>
              </w:rPr>
              <w:t>Foreign Language for Business (English)</w:t>
            </w:r>
            <w:r>
              <w:rPr>
                <w:rFonts w:hint="eastAsia" w:ascii="仿宋" w:hAnsi="仿宋" w:eastAsia="仿宋" w:cs="仿宋"/>
                <w:b w:val="0"/>
                <w:bCs/>
                <w:sz w:val="20"/>
                <w:szCs w:val="20"/>
                <w:lang w:val="en-US" w:eastAsia="zh-CN"/>
              </w:rPr>
              <w:fldChar w:fldCharType="end"/>
            </w:r>
            <w:r>
              <w:rPr>
                <w:rFonts w:hint="eastAsia" w:ascii="仿宋" w:hAnsi="仿宋" w:eastAsia="仿宋" w:cs="仿宋"/>
                <w:b w:val="0"/>
                <w:bCs/>
                <w:sz w:val="20"/>
                <w:szCs w:val="20"/>
                <w:lang w:val="en-US" w:eastAsia="zh-CN"/>
              </w:rPr>
              <w:t xml:space="preserve"> 商务英语</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秋季/上学期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Commercial Law 贸易法</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3</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Business Innovation and Technological Change企业创新与技术变革</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International Financial Management 国际金融管理</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I</w:t>
            </w:r>
            <w:r>
              <w:rPr>
                <w:rFonts w:hint="eastAsia" w:ascii="仿宋" w:hAnsi="仿宋" w:eastAsia="仿宋" w:cs="仿宋"/>
                <w:b w:val="0"/>
                <w:bCs/>
                <w:sz w:val="20"/>
                <w:szCs w:val="20"/>
                <w:lang w:val="en-US" w:eastAsia="zh-CN"/>
              </w:rPr>
              <w:fldChar w:fldCharType="begin"/>
            </w:r>
            <w:r>
              <w:rPr>
                <w:rFonts w:hint="eastAsia" w:ascii="仿宋" w:hAnsi="仿宋" w:eastAsia="仿宋" w:cs="仿宋"/>
                <w:b w:val="0"/>
                <w:bCs/>
                <w:sz w:val="20"/>
                <w:szCs w:val="20"/>
                <w:lang w:val="en-US" w:eastAsia="zh-CN"/>
              </w:rPr>
              <w:instrText xml:space="preserve"> HYPERLINK "https://estudios.unizar.es/estudio/asignatura?anyo_academico=2022&amp;asignatura_id=27352&amp;estudio_id=20220131&amp;centro_id=109&amp;plan_id_nk=448" </w:instrText>
            </w:r>
            <w:r>
              <w:rPr>
                <w:rFonts w:hint="eastAsia" w:ascii="仿宋" w:hAnsi="仿宋" w:eastAsia="仿宋" w:cs="仿宋"/>
                <w:b w:val="0"/>
                <w:bCs/>
                <w:sz w:val="20"/>
                <w:szCs w:val="20"/>
                <w:lang w:val="en-US" w:eastAsia="zh-CN"/>
              </w:rPr>
              <w:fldChar w:fldCharType="separate"/>
            </w:r>
            <w:r>
              <w:rPr>
                <w:rFonts w:hint="eastAsia" w:ascii="仿宋" w:hAnsi="仿宋" w:eastAsia="仿宋" w:cs="仿宋"/>
                <w:b w:val="0"/>
                <w:bCs/>
                <w:sz w:val="20"/>
                <w:szCs w:val="20"/>
                <w:lang w:val="en-US" w:eastAsia="zh-CN"/>
              </w:rPr>
              <w:t>ntegrated Management and Value Creation</w:t>
            </w:r>
            <w:r>
              <w:rPr>
                <w:rFonts w:hint="eastAsia" w:ascii="仿宋" w:hAnsi="仿宋" w:eastAsia="仿宋" w:cs="仿宋"/>
                <w:b w:val="0"/>
                <w:bCs/>
                <w:sz w:val="20"/>
                <w:szCs w:val="20"/>
                <w:lang w:val="en-US" w:eastAsia="zh-CN"/>
              </w:rPr>
              <w:fldChar w:fldCharType="end"/>
            </w:r>
            <w:r>
              <w:rPr>
                <w:rFonts w:hint="eastAsia" w:ascii="仿宋" w:hAnsi="仿宋" w:eastAsia="仿宋" w:cs="仿宋"/>
                <w:b w:val="0"/>
                <w:bCs/>
                <w:sz w:val="20"/>
                <w:szCs w:val="20"/>
                <w:lang w:val="en-US" w:eastAsia="zh-CN"/>
              </w:rPr>
              <w:t>综合管理和价值创造</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Excellence and Quality Management Models卓越和质量管理模式</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fldChar w:fldCharType="begin"/>
            </w:r>
            <w:r>
              <w:rPr>
                <w:rFonts w:hint="eastAsia" w:ascii="仿宋" w:hAnsi="仿宋" w:eastAsia="仿宋" w:cs="仿宋"/>
                <w:b w:val="0"/>
                <w:bCs/>
                <w:sz w:val="20"/>
                <w:szCs w:val="20"/>
                <w:lang w:val="en-US" w:eastAsia="zh-CN"/>
              </w:rPr>
              <w:instrText xml:space="preserve"> HYPERLINK "https://estudios.unizar.es/estudio/asignatura?anyo_academico=2022&amp;asignatura_id=27358&amp;estudio_id=20220131&amp;centro_id=109&amp;plan_id_nk=448" </w:instrText>
            </w:r>
            <w:r>
              <w:rPr>
                <w:rFonts w:hint="eastAsia" w:ascii="仿宋" w:hAnsi="仿宋" w:eastAsia="仿宋" w:cs="仿宋"/>
                <w:b w:val="0"/>
                <w:bCs/>
                <w:sz w:val="20"/>
                <w:szCs w:val="20"/>
                <w:lang w:val="en-US" w:eastAsia="zh-CN"/>
              </w:rPr>
              <w:fldChar w:fldCharType="separate"/>
            </w:r>
            <w:r>
              <w:rPr>
                <w:rFonts w:hint="eastAsia" w:ascii="仿宋" w:hAnsi="仿宋" w:eastAsia="仿宋" w:cs="仿宋"/>
                <w:b w:val="0"/>
                <w:bCs/>
                <w:sz w:val="20"/>
                <w:szCs w:val="20"/>
                <w:lang w:val="en-US" w:eastAsia="zh-CN"/>
              </w:rPr>
              <w:t>Organizational Sociology</w:t>
            </w:r>
            <w:r>
              <w:rPr>
                <w:rFonts w:hint="eastAsia" w:ascii="仿宋" w:hAnsi="仿宋" w:eastAsia="仿宋" w:cs="仿宋"/>
                <w:b w:val="0"/>
                <w:bCs/>
                <w:sz w:val="20"/>
                <w:szCs w:val="20"/>
                <w:lang w:val="en-US" w:eastAsia="zh-CN"/>
              </w:rPr>
              <w:fldChar w:fldCharType="end"/>
            </w:r>
            <w:r>
              <w:rPr>
                <w:rFonts w:hint="eastAsia" w:ascii="仿宋" w:hAnsi="仿宋" w:eastAsia="仿宋" w:cs="仿宋"/>
                <w:b w:val="0"/>
                <w:bCs/>
                <w:sz w:val="20"/>
                <w:szCs w:val="20"/>
                <w:lang w:val="en-US" w:eastAsia="zh-CN"/>
              </w:rPr>
              <w:t>组织社会学</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6</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7088" w:type="dxa"/>
          </w:tcPr>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国际学生通识课：国际关系与对外贸易（含经济决策、商务英语、国际金融管理、经济变革与科技创新等课题）</w:t>
            </w:r>
          </w:p>
        </w:tc>
        <w:tc>
          <w:tcPr>
            <w:tcW w:w="826" w:type="dxa"/>
          </w:tcPr>
          <w:p>
            <w:pPr>
              <w:keepNext w:val="0"/>
              <w:keepLines w:val="0"/>
              <w:pageBreakBefore w:val="0"/>
              <w:numPr>
                <w:ilvl w:val="0"/>
                <w:numId w:val="0"/>
              </w:numPr>
              <w:kinsoku/>
              <w:wordWrap/>
              <w:overflowPunct/>
              <w:topLinePunct w:val="0"/>
              <w:bidi w:val="0"/>
              <w:spacing w:line="240" w:lineRule="auto"/>
              <w:jc w:val="left"/>
              <w:textAlignment w:val="auto"/>
              <w:rPr>
                <w:rFonts w:hint="default"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5</w:t>
            </w:r>
          </w:p>
        </w:tc>
        <w:tc>
          <w:tcPr>
            <w:tcW w:w="1867" w:type="dxa"/>
          </w:tcPr>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春季/下学期（必修）</w:t>
            </w:r>
          </w:p>
        </w:tc>
      </w:tr>
    </w:tbl>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sz w:val="20"/>
          <w:szCs w:val="20"/>
          <w:lang w:val="es-ES"/>
        </w:rPr>
      </w:pPr>
      <w:r>
        <w:rPr>
          <w:rFonts w:hint="eastAsia" w:ascii="仿宋" w:hAnsi="仿宋" w:eastAsia="仿宋" w:cs="仿宋"/>
          <w:b/>
          <w:sz w:val="20"/>
          <w:szCs w:val="20"/>
          <w:lang w:val="en-US" w:eastAsia="zh-CN"/>
        </w:rPr>
        <w:t>* 学分说明：</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西班牙语语言文化课10课时等于1学分；</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n-US" w:eastAsia="zh-CN"/>
        </w:rPr>
        <w:t>英语学分课程执行欧盟学分标准1学分（1ECTS）等于10课时课堂讲解及15课时学生课外学习</w:t>
      </w: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bCs w:val="0"/>
          <w:sz w:val="20"/>
          <w:szCs w:val="20"/>
          <w:lang w:val="en-US" w:eastAsia="zh-CN"/>
        </w:rPr>
      </w:pPr>
    </w:p>
    <w:p>
      <w:pPr>
        <w:keepNext w:val="0"/>
        <w:keepLines w:val="0"/>
        <w:pageBreakBefore w:val="0"/>
        <w:numPr>
          <w:ilvl w:val="0"/>
          <w:numId w:val="3"/>
        </w:numPr>
        <w:kinsoku/>
        <w:wordWrap/>
        <w:overflowPunct/>
        <w:topLinePunct w:val="0"/>
        <w:bidi w:val="0"/>
        <w:spacing w:line="240" w:lineRule="auto"/>
        <w:ind w:left="0" w:leftChars="0" w:firstLine="0" w:firstLineChars="0"/>
        <w:jc w:val="left"/>
        <w:textAlignment w:val="auto"/>
        <w:rPr>
          <w:rFonts w:hint="eastAsia" w:ascii="仿宋" w:hAnsi="仿宋" w:eastAsia="仿宋" w:cs="仿宋"/>
          <w:b/>
          <w:bCs w:val="0"/>
          <w:sz w:val="20"/>
          <w:szCs w:val="20"/>
          <w:lang w:val="en-US" w:eastAsia="zh-CN"/>
        </w:rPr>
      </w:pPr>
      <w:r>
        <w:rPr>
          <w:rFonts w:hint="eastAsia" w:ascii="仿宋" w:hAnsi="仿宋" w:eastAsia="仿宋" w:cs="仿宋"/>
          <w:b/>
          <w:bCs w:val="0"/>
          <w:sz w:val="20"/>
          <w:szCs w:val="20"/>
          <w:lang w:val="en-US" w:eastAsia="zh-CN"/>
        </w:rPr>
        <w:t>申请要求</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s-ES"/>
        </w:rPr>
        <w:t>年级要求：本科生</w:t>
      </w:r>
      <w:r>
        <w:rPr>
          <w:rFonts w:hint="eastAsia" w:ascii="仿宋" w:hAnsi="仿宋" w:eastAsia="仿宋" w:cs="仿宋"/>
          <w:b w:val="0"/>
          <w:bCs/>
          <w:sz w:val="20"/>
          <w:szCs w:val="20"/>
          <w:lang w:val="en-US" w:eastAsia="zh-CN"/>
        </w:rPr>
        <w:t>大二在读或以上</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s-ES"/>
        </w:rPr>
      </w:pPr>
      <w:r>
        <w:rPr>
          <w:rFonts w:hint="eastAsia" w:ascii="仿宋" w:hAnsi="仿宋" w:eastAsia="仿宋" w:cs="仿宋"/>
          <w:b w:val="0"/>
          <w:bCs/>
          <w:sz w:val="20"/>
          <w:szCs w:val="20"/>
          <w:lang w:val="es-ES"/>
        </w:rPr>
        <w:t>专业要求：不限</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n-US" w:eastAsia="zh-CN"/>
        </w:rPr>
      </w:pPr>
      <w:r>
        <w:rPr>
          <w:rFonts w:hint="eastAsia" w:ascii="仿宋" w:hAnsi="仿宋" w:eastAsia="仿宋" w:cs="仿宋"/>
          <w:b w:val="0"/>
          <w:bCs/>
          <w:sz w:val="20"/>
          <w:szCs w:val="20"/>
          <w:lang w:val="es-ES"/>
        </w:rPr>
        <w:t>外语水平</w:t>
      </w:r>
      <w:r>
        <w:rPr>
          <w:rFonts w:hint="eastAsia" w:ascii="仿宋" w:hAnsi="仿宋" w:eastAsia="仿宋" w:cs="仿宋"/>
          <w:b w:val="0"/>
          <w:bCs/>
          <w:sz w:val="20"/>
          <w:szCs w:val="20"/>
          <w:lang w:val="en-US" w:eastAsia="zh-CN"/>
        </w:rPr>
        <w:t>要求</w:t>
      </w:r>
      <w:r>
        <w:rPr>
          <w:rFonts w:hint="eastAsia" w:ascii="仿宋" w:hAnsi="仿宋" w:eastAsia="仿宋" w:cs="仿宋"/>
          <w:b w:val="0"/>
          <w:bCs/>
          <w:sz w:val="20"/>
          <w:szCs w:val="20"/>
          <w:lang w:val="es-ES"/>
        </w:rPr>
        <w:t>：</w:t>
      </w:r>
      <w:r>
        <w:rPr>
          <w:rFonts w:hint="eastAsia" w:ascii="仿宋" w:hAnsi="仿宋" w:eastAsia="仿宋" w:cs="仿宋"/>
          <w:b w:val="0"/>
          <w:bCs/>
          <w:sz w:val="20"/>
          <w:szCs w:val="20"/>
          <w:lang w:val="en-US" w:eastAsia="zh-CN"/>
        </w:rPr>
        <w:t>英语欧标B2（雅思5.5分及以上、剑桥FCE、剑桥BEC 2级或其他英语国际水平考试）</w:t>
      </w:r>
      <w:r>
        <w:rPr>
          <w:rFonts w:hint="eastAsia" w:ascii="仿宋" w:hAnsi="仿宋" w:eastAsia="仿宋" w:cs="仿宋"/>
          <w:b w:val="0"/>
          <w:bCs/>
          <w:sz w:val="20"/>
          <w:szCs w:val="20"/>
          <w:lang w:val="es-ES"/>
        </w:rPr>
        <w:t>；</w:t>
      </w:r>
      <w:r>
        <w:rPr>
          <w:rFonts w:hint="eastAsia" w:ascii="仿宋" w:hAnsi="仿宋" w:eastAsia="仿宋" w:cs="仿宋"/>
          <w:b w:val="0"/>
          <w:bCs/>
          <w:sz w:val="20"/>
          <w:szCs w:val="20"/>
          <w:lang w:val="en-US" w:eastAsia="zh-CN"/>
        </w:rPr>
        <w:t>无西班牙语等级要求</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b w:val="0"/>
          <w:bCs/>
          <w:sz w:val="20"/>
          <w:szCs w:val="20"/>
          <w:lang w:val="es-ES"/>
        </w:rPr>
      </w:pPr>
    </w:p>
    <w:p>
      <w:pPr>
        <w:keepNext w:val="0"/>
        <w:keepLines w:val="0"/>
        <w:pageBreakBefore w:val="0"/>
        <w:numPr>
          <w:ilvl w:val="0"/>
          <w:numId w:val="3"/>
        </w:numPr>
        <w:kinsoku/>
        <w:wordWrap/>
        <w:overflowPunct/>
        <w:topLinePunct w:val="0"/>
        <w:bidi w:val="0"/>
        <w:spacing w:line="240" w:lineRule="auto"/>
        <w:ind w:left="0" w:leftChars="0" w:firstLine="0" w:firstLineChars="0"/>
        <w:jc w:val="left"/>
        <w:textAlignment w:val="auto"/>
        <w:rPr>
          <w:rFonts w:hint="eastAsia" w:ascii="仿宋" w:hAnsi="仿宋" w:eastAsia="仿宋" w:cs="仿宋"/>
          <w:b/>
          <w:sz w:val="20"/>
          <w:szCs w:val="20"/>
        </w:rPr>
      </w:pPr>
      <w:r>
        <w:rPr>
          <w:rFonts w:hint="eastAsia" w:ascii="仿宋" w:hAnsi="仿宋" w:eastAsia="仿宋" w:cs="仿宋"/>
          <w:b/>
          <w:sz w:val="20"/>
          <w:szCs w:val="20"/>
        </w:rPr>
        <w:t>课外课时100课时（含课外活动及课堂上老师布置的校外考察、调研及演讲准备时间）</w:t>
      </w:r>
    </w:p>
    <w:tbl>
      <w:tblPr>
        <w:tblStyle w:val="5"/>
        <w:tblW w:w="1022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70"/>
        <w:gridCol w:w="8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70" w:type="dxa"/>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sz w:val="20"/>
                <w:szCs w:val="20"/>
              </w:rPr>
            </w:pPr>
            <w:r>
              <w:rPr>
                <w:rFonts w:hint="eastAsia" w:ascii="仿宋" w:hAnsi="仿宋" w:eastAsia="仿宋" w:cs="仿宋"/>
                <w:b/>
                <w:sz w:val="20"/>
                <w:szCs w:val="20"/>
                <w:lang w:val="en-US" w:eastAsia="zh-CN"/>
              </w:rPr>
              <w:t>学分项目</w:t>
            </w:r>
            <w:r>
              <w:rPr>
                <w:rFonts w:hint="eastAsia" w:ascii="仿宋" w:hAnsi="仿宋" w:eastAsia="仿宋" w:cs="仿宋"/>
                <w:b/>
                <w:sz w:val="20"/>
                <w:szCs w:val="20"/>
              </w:rPr>
              <w:t>期间的文化活动安排</w:t>
            </w:r>
          </w:p>
        </w:tc>
        <w:tc>
          <w:tcPr>
            <w:tcW w:w="8256" w:type="dxa"/>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学生就读语言期间，为了让学生充分了解西班牙的历史文化和人文风情，快速融入西班牙环境，除了课堂</w:t>
            </w:r>
            <w:r>
              <w:rPr>
                <w:rFonts w:hint="eastAsia" w:ascii="仿宋" w:hAnsi="仿宋" w:eastAsia="仿宋" w:cs="仿宋"/>
                <w:color w:val="000000"/>
                <w:sz w:val="20"/>
                <w:szCs w:val="20"/>
                <w:lang w:val="en-US" w:eastAsia="zh-CN"/>
              </w:rPr>
              <w:t>西班牙语课</w:t>
            </w:r>
            <w:r>
              <w:rPr>
                <w:rFonts w:hint="eastAsia" w:ascii="仿宋" w:hAnsi="仿宋" w:eastAsia="仿宋" w:cs="仿宋"/>
                <w:color w:val="000000"/>
                <w:sz w:val="20"/>
                <w:szCs w:val="20"/>
              </w:rPr>
              <w:t>，学校</w:t>
            </w:r>
            <w:r>
              <w:rPr>
                <w:rFonts w:hint="eastAsia" w:ascii="仿宋" w:hAnsi="仿宋" w:eastAsia="仿宋" w:cs="仿宋"/>
                <w:color w:val="000000"/>
                <w:sz w:val="20"/>
                <w:szCs w:val="20"/>
                <w:lang w:val="en-US" w:eastAsia="zh-CN"/>
              </w:rPr>
              <w:t>也将安排丰富的</w:t>
            </w:r>
            <w:r>
              <w:rPr>
                <w:rFonts w:hint="eastAsia" w:ascii="仿宋" w:hAnsi="仿宋" w:eastAsia="仿宋" w:cs="仿宋"/>
                <w:color w:val="000000"/>
                <w:sz w:val="20"/>
                <w:szCs w:val="20"/>
              </w:rPr>
              <w:t>文化活动课，包括</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萨拉戈萨城市环游</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参观大艺术家戈雅故乡</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参观西班牙内战遗址</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参观联合国科教文组织世界文化遗产穆德哈尔式建筑的故乡特鲁埃尔</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参观西法边境比利牛斯山自然公园</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参观北部巴斯克地区海滨城市圣塞巴斯蒂安</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等等</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lang w:eastAsia="zh-CN"/>
              </w:rPr>
            </w:pPr>
            <w:r>
              <w:rPr>
                <w:rFonts w:hint="eastAsia" w:ascii="仿宋" w:hAnsi="仿宋" w:eastAsia="仿宋" w:cs="仿宋"/>
                <w:i/>
                <w:iCs/>
                <w:color w:val="000000"/>
                <w:sz w:val="20"/>
                <w:szCs w:val="20"/>
                <w:lang w:eastAsia="zh-CN"/>
              </w:rPr>
              <w:t>（</w:t>
            </w:r>
            <w:r>
              <w:rPr>
                <w:rFonts w:hint="eastAsia" w:ascii="仿宋" w:hAnsi="仿宋" w:eastAsia="仿宋" w:cs="仿宋"/>
                <w:i/>
                <w:iCs/>
                <w:color w:val="000000"/>
                <w:sz w:val="20"/>
                <w:szCs w:val="20"/>
                <w:lang w:val="en-US" w:eastAsia="zh-CN"/>
              </w:rPr>
              <w:t>部分跨城市的文化活动学生需自理车费等基本开销，学生可根据学校通知自行决定是否参加，萨拉戈萨市内活动免费，需全体参加</w:t>
            </w:r>
            <w:r>
              <w:rPr>
                <w:rFonts w:hint="eastAsia" w:ascii="仿宋" w:hAnsi="仿宋" w:eastAsia="仿宋" w:cs="仿宋"/>
                <w:i/>
                <w:iCs/>
                <w:color w:val="000000"/>
                <w:sz w:val="20"/>
                <w:szCs w:val="20"/>
                <w:lang w:eastAsia="zh-CN"/>
              </w:rPr>
              <w:t>）</w:t>
            </w:r>
          </w:p>
        </w:tc>
      </w:tr>
    </w:tbl>
    <w:p>
      <w:pPr>
        <w:keepNext w:val="0"/>
        <w:keepLines w:val="0"/>
        <w:pageBreakBefore w:val="0"/>
        <w:kinsoku/>
        <w:wordWrap/>
        <w:overflowPunct/>
        <w:topLinePunct w:val="0"/>
        <w:bidi w:val="0"/>
        <w:spacing w:line="240" w:lineRule="auto"/>
        <w:jc w:val="left"/>
        <w:textAlignment w:val="auto"/>
        <w:rPr>
          <w:rFonts w:hint="eastAsia" w:ascii="仿宋" w:hAnsi="仿宋" w:eastAsia="仿宋" w:cs="仿宋"/>
          <w:b/>
          <w:sz w:val="20"/>
          <w:szCs w:val="20"/>
        </w:rPr>
      </w:pPr>
    </w:p>
    <w:p>
      <w:pPr>
        <w:keepNext w:val="0"/>
        <w:keepLines w:val="0"/>
        <w:pageBreakBefore w:val="0"/>
        <w:numPr>
          <w:ilvl w:val="0"/>
          <w:numId w:val="3"/>
        </w:numPr>
        <w:kinsoku/>
        <w:wordWrap/>
        <w:overflowPunct/>
        <w:topLinePunct w:val="0"/>
        <w:bidi w:val="0"/>
        <w:spacing w:line="240" w:lineRule="auto"/>
        <w:ind w:left="0" w:leftChars="0" w:firstLine="0" w:firstLineChars="0"/>
        <w:jc w:val="left"/>
        <w:textAlignment w:val="auto"/>
        <w:rPr>
          <w:rFonts w:hint="eastAsia" w:ascii="仿宋" w:hAnsi="仿宋" w:eastAsia="仿宋" w:cs="仿宋"/>
          <w:b/>
          <w:sz w:val="20"/>
          <w:szCs w:val="20"/>
        </w:rPr>
      </w:pPr>
      <w:r>
        <w:rPr>
          <w:rFonts w:hint="eastAsia" w:ascii="仿宋" w:hAnsi="仿宋" w:eastAsia="仿宋" w:cs="仿宋"/>
          <w:b/>
          <w:sz w:val="20"/>
          <w:szCs w:val="20"/>
        </w:rPr>
        <w:t>学校服务及住宿安排</w:t>
      </w:r>
    </w:p>
    <w:tbl>
      <w:tblPr>
        <w:tblStyle w:val="5"/>
        <w:tblW w:w="102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33"/>
        <w:gridCol w:w="8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33" w:type="dxa"/>
            <w:vAlign w:val="center"/>
          </w:tcPr>
          <w:p>
            <w:pPr>
              <w:keepNext w:val="0"/>
              <w:keepLines w:val="0"/>
              <w:pageBreakBefore w:val="0"/>
              <w:kinsoku/>
              <w:wordWrap/>
              <w:overflowPunct/>
              <w:topLinePunct w:val="0"/>
              <w:bidi w:val="0"/>
              <w:spacing w:line="240" w:lineRule="auto"/>
              <w:jc w:val="center"/>
              <w:textAlignment w:val="auto"/>
              <w:rPr>
                <w:rFonts w:hint="eastAsia" w:ascii="仿宋" w:hAnsi="仿宋" w:eastAsia="仿宋" w:cs="仿宋"/>
                <w:b/>
                <w:sz w:val="20"/>
                <w:szCs w:val="20"/>
              </w:rPr>
            </w:pPr>
            <w:r>
              <w:rPr>
                <w:rFonts w:hint="eastAsia" w:ascii="仿宋" w:hAnsi="仿宋" w:eastAsia="仿宋" w:cs="仿宋"/>
                <w:b/>
                <w:color w:val="000000"/>
                <w:sz w:val="20"/>
                <w:szCs w:val="20"/>
              </w:rPr>
              <w:t>学校服务</w:t>
            </w:r>
          </w:p>
        </w:tc>
        <w:tc>
          <w:tcPr>
            <w:tcW w:w="8199" w:type="dxa"/>
            <w:vAlign w:val="center"/>
          </w:tcPr>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教材</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教学导师辅导</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学生个人情况跟进</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大学校园卡</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大学邮箱账号</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校园内无线上网</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自由使用计算机教室</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语言视听教室</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自由使用大学图书馆</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大学运动设施</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提供住宿信息及帮助</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sz w:val="20"/>
                <w:szCs w:val="20"/>
              </w:rPr>
            </w:pPr>
            <w:r>
              <w:rPr>
                <w:rFonts w:hint="eastAsia" w:ascii="仿宋" w:hAnsi="仿宋" w:eastAsia="仿宋" w:cs="仿宋"/>
                <w:color w:val="000000"/>
                <w:sz w:val="20"/>
                <w:szCs w:val="20"/>
              </w:rPr>
              <w:t>•</w:t>
            </w:r>
            <w:r>
              <w:rPr>
                <w:rFonts w:hint="eastAsia" w:ascii="仿宋" w:hAnsi="仿宋" w:eastAsia="仿宋" w:cs="仿宋"/>
                <w:color w:val="000000"/>
                <w:sz w:val="20"/>
                <w:szCs w:val="20"/>
              </w:rPr>
              <w:tab/>
            </w:r>
            <w:r>
              <w:rPr>
                <w:rFonts w:hint="eastAsia" w:ascii="仿宋" w:hAnsi="仿宋" w:eastAsia="仿宋" w:cs="仿宋"/>
                <w:color w:val="000000"/>
                <w:sz w:val="20"/>
                <w:szCs w:val="20"/>
              </w:rPr>
              <w:t>学校报告及成绩证明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33" w:type="dxa"/>
            <w:vAlign w:val="center"/>
          </w:tcPr>
          <w:p>
            <w:pPr>
              <w:keepNext w:val="0"/>
              <w:keepLines w:val="0"/>
              <w:pageBreakBefore w:val="0"/>
              <w:kinsoku/>
              <w:wordWrap/>
              <w:overflowPunct/>
              <w:topLinePunct w:val="0"/>
              <w:bidi w:val="0"/>
              <w:adjustRightInd w:val="0"/>
              <w:snapToGrid w:val="0"/>
              <w:spacing w:line="240" w:lineRule="auto"/>
              <w:jc w:val="center"/>
              <w:textAlignment w:val="auto"/>
              <w:rPr>
                <w:rFonts w:hint="eastAsia" w:ascii="仿宋" w:hAnsi="仿宋" w:eastAsia="仿宋" w:cs="仿宋"/>
                <w:b/>
                <w:sz w:val="20"/>
                <w:szCs w:val="20"/>
              </w:rPr>
            </w:pPr>
            <w:r>
              <w:rPr>
                <w:rFonts w:hint="eastAsia" w:ascii="仿宋" w:hAnsi="仿宋" w:eastAsia="仿宋" w:cs="仿宋"/>
                <w:b/>
                <w:sz w:val="20"/>
                <w:szCs w:val="20"/>
              </w:rPr>
              <w:t>住宿</w:t>
            </w:r>
          </w:p>
        </w:tc>
        <w:tc>
          <w:tcPr>
            <w:tcW w:w="8199" w:type="dxa"/>
            <w:vAlign w:val="center"/>
          </w:tcPr>
          <w:p>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ascii="仿宋" w:hAnsi="仿宋" w:eastAsia="仿宋" w:cs="仿宋"/>
                <w:color w:val="000000"/>
                <w:sz w:val="20"/>
                <w:szCs w:val="20"/>
              </w:rPr>
            </w:pPr>
            <w:r>
              <w:rPr>
                <w:rFonts w:hint="eastAsia" w:ascii="仿宋" w:hAnsi="仿宋" w:eastAsia="仿宋" w:cs="仿宋"/>
                <w:color w:val="000000"/>
                <w:sz w:val="20"/>
                <w:szCs w:val="20"/>
              </w:rPr>
              <w:t>学校安排当地住家，</w:t>
            </w:r>
            <w:r>
              <w:rPr>
                <w:rFonts w:hint="eastAsia" w:ascii="仿宋" w:hAnsi="仿宋" w:eastAsia="仿宋" w:cs="仿宋"/>
                <w:color w:val="000000"/>
                <w:sz w:val="20"/>
                <w:szCs w:val="20"/>
                <w:lang w:val="en-US" w:eastAsia="zh-CN"/>
              </w:rPr>
              <w:t>至少</w:t>
            </w:r>
            <w:r>
              <w:rPr>
                <w:rFonts w:hint="eastAsia" w:ascii="仿宋" w:hAnsi="仿宋" w:eastAsia="仿宋" w:cs="仿宋"/>
                <w:color w:val="000000"/>
                <w:sz w:val="20"/>
                <w:szCs w:val="20"/>
              </w:rPr>
              <w:t>需住满3个月，包三餐，水电煤网络全包。</w:t>
            </w:r>
          </w:p>
          <w:p>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3个月后可自由选择是否续住</w:t>
            </w:r>
          </w:p>
          <w:p>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 xml:space="preserve">* 单人间750欧元/月/人 </w:t>
            </w:r>
          </w:p>
          <w:p>
            <w:pPr>
              <w:keepNext w:val="0"/>
              <w:keepLines w:val="0"/>
              <w:pageBreakBefore w:val="0"/>
              <w:widowControl/>
              <w:kinsoku/>
              <w:wordWrap/>
              <w:overflowPunct/>
              <w:topLinePunct w:val="0"/>
              <w:bidi w:val="0"/>
              <w:adjustRightInd w:val="0"/>
              <w:snapToGrid w:val="0"/>
              <w:spacing w:line="240" w:lineRule="auto"/>
              <w:jc w:val="center"/>
              <w:textAlignment w:val="auto"/>
              <w:rPr>
                <w:rFonts w:hint="eastAsia" w:ascii="仿宋" w:hAnsi="仿宋" w:eastAsia="仿宋" w:cs="仿宋"/>
                <w:sz w:val="20"/>
                <w:szCs w:val="20"/>
              </w:rPr>
            </w:pPr>
            <w:r>
              <w:rPr>
                <w:rFonts w:hint="eastAsia" w:ascii="仿宋" w:hAnsi="仿宋" w:eastAsia="仿宋" w:cs="仿宋"/>
                <w:sz w:val="20"/>
                <w:szCs w:val="20"/>
              </w:rPr>
              <w:t>* 200欧 住宿管理费</w:t>
            </w:r>
          </w:p>
        </w:tc>
      </w:tr>
    </w:tbl>
    <w:p>
      <w:pPr>
        <w:keepNext w:val="0"/>
        <w:keepLines w:val="0"/>
        <w:pageBreakBefore w:val="0"/>
        <w:kinsoku/>
        <w:wordWrap/>
        <w:overflowPunct/>
        <w:topLinePunct w:val="0"/>
        <w:bidi w:val="0"/>
        <w:spacing w:line="240" w:lineRule="auto"/>
        <w:jc w:val="left"/>
        <w:textAlignment w:val="auto"/>
        <w:rPr>
          <w:rFonts w:hint="eastAsia" w:ascii="仿宋" w:hAnsi="仿宋" w:eastAsia="仿宋" w:cs="仿宋"/>
          <w:b/>
          <w:sz w:val="20"/>
          <w:szCs w:val="20"/>
        </w:rPr>
      </w:pPr>
    </w:p>
    <w:p>
      <w:pPr>
        <w:keepNext w:val="0"/>
        <w:keepLines w:val="0"/>
        <w:pageBreakBefore w:val="0"/>
        <w:numPr>
          <w:ilvl w:val="0"/>
          <w:numId w:val="0"/>
        </w:numPr>
        <w:kinsoku/>
        <w:wordWrap/>
        <w:overflowPunct/>
        <w:topLinePunct w:val="0"/>
        <w:bidi w:val="0"/>
        <w:spacing w:line="240" w:lineRule="auto"/>
        <w:ind w:leftChars="0"/>
        <w:jc w:val="left"/>
        <w:textAlignment w:val="auto"/>
        <w:rPr>
          <w:rFonts w:hint="eastAsia" w:ascii="仿宋" w:hAnsi="仿宋" w:eastAsia="仿宋" w:cs="仿宋"/>
          <w:b/>
          <w:sz w:val="24"/>
          <w:szCs w:val="40"/>
          <w:lang w:val="en-US" w:eastAsia="zh-CN"/>
        </w:rPr>
      </w:pPr>
      <w:r>
        <w:rPr>
          <w:rFonts w:hint="eastAsia" w:ascii="仿宋" w:hAnsi="仿宋" w:eastAsia="仿宋" w:cs="仿宋"/>
          <w:b/>
          <w:sz w:val="24"/>
          <w:szCs w:val="40"/>
          <w:lang w:val="en-US" w:eastAsia="zh-CN"/>
        </w:rPr>
        <w:t>萨拉戈萨大学2024-2025学年度交流生费用参考</w:t>
      </w:r>
    </w:p>
    <w:p>
      <w:pPr>
        <w:keepNext w:val="0"/>
        <w:keepLines w:val="0"/>
        <w:pageBreakBefore w:val="0"/>
        <w:kinsoku/>
        <w:wordWrap/>
        <w:overflowPunct/>
        <w:topLinePunct w:val="0"/>
        <w:bidi w:val="0"/>
        <w:spacing w:line="240" w:lineRule="auto"/>
        <w:textAlignment w:val="auto"/>
        <w:rPr>
          <w:rFonts w:hint="eastAsia" w:ascii="仿宋" w:hAnsi="仿宋" w:eastAsia="仿宋" w:cs="仿宋"/>
          <w:lang w:val="en-US" w:eastAsia="zh-CN"/>
        </w:rPr>
      </w:pPr>
    </w:p>
    <w:p>
      <w:pPr>
        <w:keepNext w:val="0"/>
        <w:keepLines w:val="0"/>
        <w:pageBreakBefore w:val="0"/>
        <w:kinsoku/>
        <w:wordWrap/>
        <w:overflowPunct/>
        <w:topLinePunct w:val="0"/>
        <w:bidi w:val="0"/>
        <w:spacing w:line="240" w:lineRule="auto"/>
        <w:textAlignment w:val="auto"/>
        <w:rPr>
          <w:rFonts w:hint="eastAsia" w:ascii="仿宋" w:hAnsi="仿宋" w:eastAsia="仿宋" w:cs="仿宋"/>
          <w:b/>
          <w:bCs/>
          <w:lang w:val="en-US" w:eastAsia="zh-CN"/>
        </w:rPr>
      </w:pPr>
      <w:r>
        <w:rPr>
          <w:rFonts w:hint="eastAsia" w:ascii="仿宋" w:hAnsi="仿宋" w:eastAsia="仿宋" w:cs="仿宋"/>
          <w:b/>
          <w:bCs/>
          <w:lang w:val="en-US" w:eastAsia="zh-CN"/>
        </w:rPr>
        <w:t>* 涉及欧元费用的，同时附折算后的人民币参考费用（按汇率1:7.8计算）</w:t>
      </w:r>
    </w:p>
    <w:p>
      <w:pPr>
        <w:keepNext w:val="0"/>
        <w:keepLines w:val="0"/>
        <w:pageBreakBefore w:val="0"/>
        <w:kinsoku/>
        <w:wordWrap/>
        <w:overflowPunct/>
        <w:topLinePunct w:val="0"/>
        <w:bidi w:val="0"/>
        <w:spacing w:line="240" w:lineRule="auto"/>
        <w:textAlignment w:val="auto"/>
        <w:rPr>
          <w:rFonts w:hint="eastAsia" w:ascii="仿宋" w:hAnsi="仿宋" w:eastAsia="仿宋" w:cs="仿宋"/>
          <w:b/>
          <w:bCs/>
          <w:lang w:val="en-US" w:eastAsia="zh-CN"/>
        </w:rPr>
      </w:pPr>
    </w:p>
    <w:p>
      <w:pPr>
        <w:keepNext w:val="0"/>
        <w:keepLines w:val="0"/>
        <w:pageBreakBefore w:val="0"/>
        <w:kinsoku/>
        <w:wordWrap/>
        <w:overflowPunct/>
        <w:topLinePunct w:val="0"/>
        <w:bidi w:val="0"/>
        <w:spacing w:line="240" w:lineRule="auto"/>
        <w:textAlignment w:val="auto"/>
        <w:rPr>
          <w:rFonts w:hint="eastAsia" w:ascii="仿宋" w:hAnsi="仿宋" w:eastAsia="仿宋" w:cs="仿宋"/>
          <w:b/>
          <w:bCs/>
          <w:lang w:val="en-US" w:eastAsia="zh-CN"/>
        </w:rPr>
      </w:pPr>
      <w:r>
        <w:rPr>
          <w:rFonts w:hint="eastAsia" w:ascii="仿宋" w:hAnsi="仿宋" w:eastAsia="仿宋" w:cs="仿宋"/>
          <w:b/>
          <w:bCs/>
          <w:lang w:val="en-US" w:eastAsia="zh-CN"/>
        </w:rPr>
        <w:t>国内费用参考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5"/>
        <w:gridCol w:w="2900"/>
        <w:gridCol w:w="4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25"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项目</w:t>
            </w:r>
          </w:p>
        </w:tc>
        <w:tc>
          <w:tcPr>
            <w:tcW w:w="2900"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费用参考</w:t>
            </w:r>
          </w:p>
        </w:tc>
        <w:tc>
          <w:tcPr>
            <w:tcW w:w="4157"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护照申请</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200元</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rPr>
              <w:t>交各地出入境管理局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西班牙留学生签证所需的材料费（包括但不仅限于公证认证费、体检费、翻译费等）</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3000-3500人民币左右</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根据各个城市本地公证处等办事机构标准不同，费用略有不同，材料办理中直接向对应单位缴纳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机票费</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highlight w:val="none"/>
              </w:rPr>
              <w:t>5500</w:t>
            </w:r>
            <w:r>
              <w:rPr>
                <w:rFonts w:hint="eastAsia" w:ascii="仿宋" w:hAnsi="仿宋" w:eastAsia="仿宋" w:cs="仿宋"/>
                <w:sz w:val="21"/>
                <w:szCs w:val="21"/>
                <w:highlight w:val="none"/>
                <w:lang w:val="en-US" w:eastAsia="zh-CN"/>
              </w:rPr>
              <w:t>-8000</w:t>
            </w:r>
            <w:r>
              <w:rPr>
                <w:rFonts w:hint="eastAsia" w:ascii="仿宋" w:hAnsi="仿宋" w:eastAsia="仿宋" w:cs="仿宋"/>
                <w:sz w:val="21"/>
                <w:szCs w:val="21"/>
              </w:rPr>
              <w:t>元左右</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rPr>
              <w:t>根据航空公司和时期不同</w:t>
            </w:r>
            <w:r>
              <w:rPr>
                <w:rFonts w:hint="eastAsia" w:ascii="仿宋" w:hAnsi="仿宋" w:eastAsia="仿宋" w:cs="仿宋"/>
                <w:sz w:val="21"/>
                <w:szCs w:val="21"/>
                <w:lang w:val="en-US" w:eastAsia="zh-CN"/>
              </w:rPr>
              <w:t>会有上下浮动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签证费</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lang w:val="en-US" w:eastAsia="zh-CN"/>
              </w:rPr>
              <w:t>577</w:t>
            </w:r>
            <w:r>
              <w:rPr>
                <w:rFonts w:hint="eastAsia" w:ascii="仿宋" w:hAnsi="仿宋" w:eastAsia="仿宋" w:cs="仿宋"/>
                <w:sz w:val="21"/>
                <w:szCs w:val="21"/>
              </w:rPr>
              <w:t>元人民币（</w:t>
            </w:r>
            <w:r>
              <w:rPr>
                <w:rFonts w:hint="eastAsia" w:ascii="仿宋" w:hAnsi="仿宋" w:eastAsia="仿宋" w:cs="仿宋"/>
                <w:sz w:val="21"/>
                <w:szCs w:val="21"/>
                <w:lang w:val="en-US" w:eastAsia="zh-CN"/>
              </w:rPr>
              <w:t>领馆会</w:t>
            </w:r>
            <w:r>
              <w:rPr>
                <w:rFonts w:hint="eastAsia" w:ascii="仿宋" w:hAnsi="仿宋" w:eastAsia="仿宋" w:cs="仿宋"/>
                <w:sz w:val="21"/>
                <w:szCs w:val="21"/>
              </w:rPr>
              <w:t>根据欧元汇率调整）</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递交签证申请时缴纳给西班牙领馆（现金收取）</w:t>
            </w:r>
          </w:p>
        </w:tc>
      </w:tr>
    </w:tbl>
    <w:p>
      <w:pPr>
        <w:keepNext w:val="0"/>
        <w:keepLines w:val="0"/>
        <w:pageBreakBefore w:val="0"/>
        <w:kinsoku/>
        <w:wordWrap/>
        <w:overflowPunct/>
        <w:topLinePunct w:val="0"/>
        <w:bidi w:val="0"/>
        <w:spacing w:line="240" w:lineRule="auto"/>
        <w:textAlignment w:val="auto"/>
        <w:rPr>
          <w:rFonts w:hint="eastAsia" w:ascii="仿宋" w:hAnsi="仿宋" w:eastAsia="仿宋" w:cs="仿宋"/>
          <w:b/>
          <w:bCs/>
          <w:lang w:val="en-US" w:eastAsia="zh-CN"/>
        </w:rPr>
      </w:pPr>
    </w:p>
    <w:p>
      <w:pPr>
        <w:keepNext w:val="0"/>
        <w:keepLines w:val="0"/>
        <w:pageBreakBefore w:val="0"/>
        <w:kinsoku/>
        <w:wordWrap/>
        <w:overflowPunct/>
        <w:topLinePunct w:val="0"/>
        <w:bidi w:val="0"/>
        <w:spacing w:line="240" w:lineRule="auto"/>
        <w:textAlignment w:val="auto"/>
        <w:rPr>
          <w:rFonts w:hint="eastAsia" w:ascii="仿宋" w:hAnsi="仿宋" w:eastAsia="仿宋" w:cs="仿宋"/>
          <w:b/>
          <w:bCs/>
          <w:color w:val="FF0000"/>
          <w:lang w:val="en-US" w:eastAsia="zh-CN"/>
        </w:rPr>
      </w:pPr>
      <w:r>
        <w:rPr>
          <w:rFonts w:hint="eastAsia" w:ascii="仿宋" w:hAnsi="仿宋" w:eastAsia="仿宋" w:cs="仿宋"/>
          <w:b/>
          <w:bCs/>
          <w:color w:val="FF0000"/>
          <w:lang w:val="en-US" w:eastAsia="zh-CN"/>
        </w:rPr>
        <w:t>国外费用参考（1学期）</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5"/>
        <w:gridCol w:w="2900"/>
        <w:gridCol w:w="4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FF0000"/>
                <w:sz w:val="21"/>
                <w:szCs w:val="21"/>
                <w:vertAlign w:val="baseline"/>
                <w:lang w:val="en-US" w:eastAsia="zh-CN"/>
              </w:rPr>
            </w:pPr>
            <w:r>
              <w:rPr>
                <w:rFonts w:hint="eastAsia" w:ascii="仿宋" w:hAnsi="仿宋" w:eastAsia="仿宋" w:cs="仿宋"/>
                <w:b/>
                <w:bCs/>
                <w:color w:val="FF0000"/>
                <w:sz w:val="21"/>
                <w:szCs w:val="21"/>
                <w:vertAlign w:val="baseline"/>
                <w:lang w:val="en-US" w:eastAsia="zh-CN"/>
              </w:rPr>
              <w:t>项目</w:t>
            </w:r>
          </w:p>
        </w:tc>
        <w:tc>
          <w:tcPr>
            <w:tcW w:w="2900"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FF0000"/>
                <w:sz w:val="21"/>
                <w:szCs w:val="21"/>
                <w:vertAlign w:val="baseline"/>
                <w:lang w:val="en-US" w:eastAsia="zh-CN"/>
              </w:rPr>
            </w:pPr>
            <w:r>
              <w:rPr>
                <w:rFonts w:hint="eastAsia" w:ascii="仿宋" w:hAnsi="仿宋" w:eastAsia="仿宋" w:cs="仿宋"/>
                <w:b/>
                <w:bCs/>
                <w:color w:val="FF0000"/>
                <w:sz w:val="21"/>
                <w:szCs w:val="21"/>
                <w:vertAlign w:val="baseline"/>
                <w:lang w:val="en-US" w:eastAsia="zh-CN"/>
              </w:rPr>
              <w:t>费用参考</w:t>
            </w:r>
          </w:p>
        </w:tc>
        <w:tc>
          <w:tcPr>
            <w:tcW w:w="4157"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color w:val="FF0000"/>
                <w:sz w:val="21"/>
                <w:szCs w:val="21"/>
                <w:vertAlign w:val="baseline"/>
                <w:lang w:val="en-US" w:eastAsia="zh-CN"/>
              </w:rPr>
            </w:pPr>
            <w:r>
              <w:rPr>
                <w:rFonts w:hint="eastAsia" w:ascii="仿宋" w:hAnsi="仿宋" w:eastAsia="仿宋" w:cs="仿宋"/>
                <w:b/>
                <w:bCs/>
                <w:color w:val="FF0000"/>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FF0000"/>
                <w:kern w:val="2"/>
                <w:sz w:val="21"/>
                <w:szCs w:val="21"/>
                <w:lang w:val="en-US" w:eastAsia="zh-CN" w:bidi="ar-SA"/>
              </w:rPr>
            </w:pPr>
            <w:r>
              <w:rPr>
                <w:rFonts w:hint="eastAsia" w:ascii="仿宋" w:hAnsi="仿宋" w:eastAsia="仿宋" w:cs="仿宋"/>
                <w:color w:val="FF0000"/>
                <w:sz w:val="21"/>
                <w:szCs w:val="21"/>
              </w:rPr>
              <w:t>国外课程注册费</w:t>
            </w: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2000元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报名时由上海办公室代收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FF0000"/>
                <w:sz w:val="21"/>
                <w:szCs w:val="21"/>
              </w:rPr>
            </w:pPr>
            <w:r>
              <w:rPr>
                <w:rFonts w:hint="eastAsia" w:ascii="仿宋" w:hAnsi="仿宋" w:eastAsia="仿宋" w:cs="仿宋"/>
                <w:color w:val="FF0000"/>
                <w:sz w:val="21"/>
                <w:szCs w:val="21"/>
              </w:rPr>
              <w:t>国外课程学费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FF0000"/>
                <w:kern w:val="2"/>
                <w:sz w:val="21"/>
                <w:szCs w:val="21"/>
                <w:lang w:val="en-US" w:eastAsia="zh-CN" w:bidi="ar-SA"/>
              </w:rPr>
            </w:pP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3500欧元（约合人民币2.7万元）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签证之前直接汇至西班牙，银行会收取约200元人民币左右的手续费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FF0000"/>
                <w:sz w:val="21"/>
                <w:szCs w:val="21"/>
                <w:vertAlign w:val="baseline"/>
                <w:lang w:val="en-US" w:eastAsia="zh-CN"/>
              </w:rPr>
            </w:pPr>
            <w:r>
              <w:rPr>
                <w:rFonts w:hint="eastAsia" w:ascii="仿宋" w:hAnsi="仿宋" w:eastAsia="仿宋" w:cs="仿宋"/>
                <w:color w:val="FF0000"/>
                <w:kern w:val="2"/>
                <w:sz w:val="21"/>
                <w:szCs w:val="21"/>
                <w:lang w:val="en-US" w:eastAsia="zh-CN" w:bidi="ar-SA"/>
              </w:rPr>
              <w:t>国外医疗保险（全医保）</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sz w:val="21"/>
                <w:szCs w:val="21"/>
                <w:lang w:val="en-US" w:eastAsia="zh-CN"/>
              </w:rPr>
            </w:pPr>
            <w:r>
              <w:rPr>
                <w:rFonts w:hint="eastAsia" w:ascii="仿宋" w:hAnsi="仿宋" w:eastAsia="仿宋" w:cs="仿宋"/>
                <w:color w:val="FF0000"/>
                <w:sz w:val="21"/>
                <w:szCs w:val="21"/>
                <w:vertAlign w:val="baseline"/>
                <w:lang w:val="en-US" w:eastAsia="zh-CN"/>
              </w:rPr>
              <w:t>240欧元（约1872元1学期）</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sz w:val="21"/>
                <w:szCs w:val="21"/>
                <w:vertAlign w:val="baseline"/>
                <w:lang w:val="en-US" w:eastAsia="zh-CN"/>
              </w:rPr>
            </w:pPr>
            <w:r>
              <w:rPr>
                <w:rFonts w:hint="eastAsia" w:ascii="仿宋" w:hAnsi="仿宋" w:eastAsia="仿宋" w:cs="仿宋"/>
                <w:color w:val="FF0000"/>
                <w:sz w:val="21"/>
                <w:szCs w:val="21"/>
                <w:vertAlign w:val="baseline"/>
                <w:lang w:val="en-US" w:eastAsia="zh-CN"/>
              </w:rPr>
              <w:t>签证之前直接与学费一同汇至西班牙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FF0000"/>
                <w:kern w:val="2"/>
                <w:sz w:val="21"/>
                <w:szCs w:val="21"/>
                <w:lang w:val="en-US" w:eastAsia="zh-CN" w:bidi="ar-SA"/>
              </w:rPr>
            </w:pPr>
            <w:r>
              <w:rPr>
                <w:rFonts w:hint="eastAsia" w:ascii="仿宋" w:hAnsi="仿宋" w:eastAsia="仿宋" w:cs="仿宋"/>
                <w:color w:val="FF0000"/>
                <w:sz w:val="21"/>
                <w:szCs w:val="21"/>
              </w:rPr>
              <w:t>交流一学</w:t>
            </w:r>
            <w:r>
              <w:rPr>
                <w:rFonts w:hint="eastAsia" w:ascii="仿宋" w:hAnsi="仿宋" w:eastAsia="仿宋" w:cs="仿宋"/>
                <w:color w:val="FF0000"/>
                <w:sz w:val="21"/>
                <w:szCs w:val="21"/>
                <w:lang w:val="en-US" w:eastAsia="zh-CN"/>
              </w:rPr>
              <w:t>期基本衣食住行</w:t>
            </w:r>
            <w:r>
              <w:rPr>
                <w:rFonts w:hint="eastAsia" w:ascii="仿宋" w:hAnsi="仿宋" w:eastAsia="仿宋" w:cs="仿宋"/>
                <w:color w:val="FF0000"/>
                <w:sz w:val="21"/>
                <w:szCs w:val="21"/>
              </w:rPr>
              <w:t>生活费预算（已含抵达</w:t>
            </w:r>
            <w:r>
              <w:rPr>
                <w:rFonts w:hint="eastAsia" w:ascii="仿宋" w:hAnsi="仿宋" w:eastAsia="仿宋" w:cs="仿宋"/>
                <w:color w:val="FF0000"/>
                <w:sz w:val="21"/>
                <w:szCs w:val="21"/>
                <w:lang w:eastAsia="zh-CN"/>
              </w:rPr>
              <w:t>前</w:t>
            </w:r>
            <w:r>
              <w:rPr>
                <w:rFonts w:hint="eastAsia" w:ascii="仿宋" w:hAnsi="仿宋" w:eastAsia="仿宋" w:cs="仿宋"/>
                <w:color w:val="FF0000"/>
                <w:sz w:val="21"/>
                <w:szCs w:val="21"/>
                <w:lang w:val="en-US" w:eastAsia="zh-CN"/>
              </w:rPr>
              <w:t>3</w:t>
            </w:r>
            <w:r>
              <w:rPr>
                <w:rFonts w:hint="eastAsia" w:ascii="仿宋" w:hAnsi="仿宋" w:eastAsia="仿宋" w:cs="仿宋"/>
                <w:color w:val="FF0000"/>
                <w:sz w:val="21"/>
                <w:szCs w:val="21"/>
              </w:rPr>
              <w:t>个月学校安排的住家</w:t>
            </w:r>
            <w:r>
              <w:rPr>
                <w:rFonts w:hint="eastAsia" w:ascii="仿宋" w:hAnsi="仿宋" w:eastAsia="仿宋" w:cs="仿宋"/>
                <w:color w:val="FF0000"/>
                <w:sz w:val="21"/>
                <w:szCs w:val="21"/>
                <w:lang w:val="en-US" w:eastAsia="zh-CN"/>
              </w:rPr>
              <w:t xml:space="preserve"> 包三餐服务</w:t>
            </w:r>
            <w:r>
              <w:rPr>
                <w:rFonts w:hint="eastAsia" w:ascii="仿宋" w:hAnsi="仿宋" w:eastAsia="仿宋" w:cs="仿宋"/>
                <w:color w:val="FF0000"/>
                <w:sz w:val="21"/>
                <w:szCs w:val="21"/>
              </w:rPr>
              <w:t>）</w:t>
            </w: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约合人民币3.2万元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sz w:val="21"/>
                <w:szCs w:val="21"/>
                <w:vertAlign w:val="baseline"/>
                <w:lang w:val="en-US" w:eastAsia="zh-CN"/>
              </w:rPr>
            </w:pPr>
            <w:r>
              <w:rPr>
                <w:rFonts w:hint="eastAsia" w:ascii="仿宋" w:hAnsi="仿宋" w:eastAsia="仿宋" w:cs="仿宋"/>
                <w:color w:val="FF0000"/>
                <w:sz w:val="21"/>
                <w:szCs w:val="21"/>
                <w:vertAlign w:val="baseline"/>
                <w:lang w:val="en-US" w:eastAsia="zh-CN"/>
              </w:rPr>
              <w:t>其中学校安排的住宿家庭费用与学费一同汇至西班牙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FF0000"/>
                <w:kern w:val="2"/>
                <w:sz w:val="21"/>
                <w:szCs w:val="21"/>
                <w:vertAlign w:val="baseline"/>
                <w:lang w:val="en-US" w:eastAsia="zh-CN" w:bidi="ar-SA"/>
              </w:rPr>
            </w:pPr>
            <w:r>
              <w:rPr>
                <w:rFonts w:hint="eastAsia" w:ascii="仿宋" w:hAnsi="仿宋" w:eastAsia="仿宋" w:cs="仿宋"/>
                <w:color w:val="FF0000"/>
                <w:sz w:val="21"/>
                <w:szCs w:val="21"/>
                <w:vertAlign w:val="baseline"/>
                <w:lang w:val="en-US" w:eastAsia="zh-CN"/>
              </w:rPr>
              <w:t>日常生活费，以及未来的租房费用签证后由学生本人带出国</w:t>
            </w:r>
          </w:p>
        </w:tc>
      </w:tr>
    </w:tbl>
    <w:p>
      <w:pPr>
        <w:keepNext w:val="0"/>
        <w:keepLines w:val="0"/>
        <w:pageBreakBefore w:val="0"/>
        <w:numPr>
          <w:ilvl w:val="0"/>
          <w:numId w:val="0"/>
        </w:numPr>
        <w:kinsoku/>
        <w:wordWrap/>
        <w:overflowPunct/>
        <w:topLinePunct w:val="0"/>
        <w:bidi w:val="0"/>
        <w:spacing w:line="240" w:lineRule="auto"/>
        <w:ind w:leftChars="200"/>
        <w:jc w:val="left"/>
        <w:textAlignment w:val="auto"/>
        <w:rPr>
          <w:rFonts w:hint="eastAsia" w:ascii="仿宋" w:hAnsi="仿宋" w:eastAsia="仿宋" w:cs="仿宋"/>
          <w:sz w:val="20"/>
          <w:szCs w:val="20"/>
          <w:lang w:val="en-US" w:eastAsia="zh-CN"/>
        </w:rPr>
      </w:pPr>
    </w:p>
    <w:p>
      <w:pPr>
        <w:keepNext w:val="0"/>
        <w:keepLines w:val="0"/>
        <w:pageBreakBefore w:val="0"/>
        <w:kinsoku/>
        <w:wordWrap/>
        <w:overflowPunct/>
        <w:topLinePunct w:val="0"/>
        <w:bidi w:val="0"/>
        <w:spacing w:line="240" w:lineRule="auto"/>
        <w:textAlignment w:val="auto"/>
        <w:rPr>
          <w:rFonts w:hint="eastAsia" w:ascii="仿宋" w:hAnsi="仿宋" w:eastAsia="仿宋" w:cs="仿宋"/>
          <w:b/>
          <w:bCs/>
          <w:lang w:val="en-US" w:eastAsia="zh-CN"/>
        </w:rPr>
      </w:pPr>
      <w:r>
        <w:rPr>
          <w:rFonts w:hint="eastAsia" w:ascii="仿宋" w:hAnsi="仿宋" w:eastAsia="仿宋" w:cs="仿宋"/>
          <w:b/>
          <w:bCs/>
          <w:lang w:val="en-US" w:eastAsia="zh-CN"/>
        </w:rPr>
        <w:t>国外费用参考（1学年）</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5"/>
        <w:gridCol w:w="2900"/>
        <w:gridCol w:w="4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项目</w:t>
            </w:r>
          </w:p>
        </w:tc>
        <w:tc>
          <w:tcPr>
            <w:tcW w:w="2900"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费用参考</w:t>
            </w:r>
          </w:p>
        </w:tc>
        <w:tc>
          <w:tcPr>
            <w:tcW w:w="4157" w:type="dxa"/>
            <w:shd w:val="clear" w:color="auto" w:fill="DBEEF3" w:themeFill="accent5" w:themeFillTint="32"/>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国外课程注册费</w:t>
            </w: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2000元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报名时由上海办公室代收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rPr>
            </w:pPr>
            <w:r>
              <w:rPr>
                <w:rFonts w:hint="eastAsia" w:ascii="仿宋" w:hAnsi="仿宋" w:eastAsia="仿宋" w:cs="仿宋"/>
                <w:sz w:val="21"/>
                <w:szCs w:val="21"/>
              </w:rPr>
              <w:t>国外课程学费</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21"/>
                <w:szCs w:val="21"/>
                <w:lang w:val="en-US" w:eastAsia="zh-CN" w:bidi="ar-SA"/>
              </w:rPr>
            </w:pP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6042欧元（约合人民币4.7万元）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签证之前直接汇至西班牙，银行会收取约200元人民币左右的手续费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1"/>
                <w:szCs w:val="21"/>
                <w:vertAlign w:val="baseline"/>
                <w:lang w:val="en-US" w:eastAsia="zh-CN"/>
              </w:rPr>
            </w:pPr>
            <w:r>
              <w:rPr>
                <w:rFonts w:hint="eastAsia" w:ascii="仿宋" w:hAnsi="仿宋" w:eastAsia="仿宋" w:cs="仿宋"/>
                <w:kern w:val="2"/>
                <w:sz w:val="21"/>
                <w:szCs w:val="21"/>
                <w:lang w:val="en-US" w:eastAsia="zh-CN" w:bidi="ar-SA"/>
              </w:rPr>
              <w:t>国外医疗保险（全医保）</w:t>
            </w:r>
          </w:p>
        </w:tc>
        <w:tc>
          <w:tcPr>
            <w:tcW w:w="290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vertAlign w:val="baseline"/>
                <w:lang w:val="en-US" w:eastAsia="zh-CN"/>
              </w:rPr>
              <w:t>480欧元（约3744元1学期）</w:t>
            </w:r>
          </w:p>
        </w:tc>
        <w:tc>
          <w:tcPr>
            <w:tcW w:w="415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签证之前直接与学费一同汇至西班牙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5" w:type="dxa"/>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交流一学</w:t>
            </w:r>
            <w:r>
              <w:rPr>
                <w:rFonts w:hint="eastAsia" w:ascii="仿宋" w:hAnsi="仿宋" w:eastAsia="仿宋" w:cs="仿宋"/>
                <w:sz w:val="21"/>
                <w:szCs w:val="21"/>
                <w:lang w:val="en-US" w:eastAsia="zh-CN"/>
              </w:rPr>
              <w:t>期基本衣食住行</w:t>
            </w:r>
            <w:r>
              <w:rPr>
                <w:rFonts w:hint="eastAsia" w:ascii="仿宋" w:hAnsi="仿宋" w:eastAsia="仿宋" w:cs="仿宋"/>
                <w:sz w:val="21"/>
                <w:szCs w:val="21"/>
              </w:rPr>
              <w:t>生活费预算（已含抵达</w:t>
            </w:r>
            <w:r>
              <w:rPr>
                <w:rFonts w:hint="eastAsia" w:ascii="仿宋" w:hAnsi="仿宋" w:eastAsia="仿宋" w:cs="仿宋"/>
                <w:sz w:val="21"/>
                <w:szCs w:val="21"/>
                <w:lang w:eastAsia="zh-CN"/>
              </w:rPr>
              <w:t>前</w:t>
            </w:r>
            <w:r>
              <w:rPr>
                <w:rFonts w:hint="eastAsia" w:ascii="仿宋" w:hAnsi="仿宋" w:eastAsia="仿宋" w:cs="仿宋"/>
                <w:sz w:val="21"/>
                <w:szCs w:val="21"/>
                <w:lang w:val="en-US" w:eastAsia="zh-CN"/>
              </w:rPr>
              <w:t>3</w:t>
            </w:r>
            <w:r>
              <w:rPr>
                <w:rFonts w:hint="eastAsia" w:ascii="仿宋" w:hAnsi="仿宋" w:eastAsia="仿宋" w:cs="仿宋"/>
                <w:sz w:val="21"/>
                <w:szCs w:val="21"/>
              </w:rPr>
              <w:t>个月学校安排的住家</w:t>
            </w:r>
            <w:r>
              <w:rPr>
                <w:rFonts w:hint="eastAsia" w:ascii="仿宋" w:hAnsi="仿宋" w:eastAsia="仿宋" w:cs="仿宋"/>
                <w:sz w:val="21"/>
                <w:szCs w:val="21"/>
                <w:lang w:val="en-US" w:eastAsia="zh-CN"/>
              </w:rPr>
              <w:t xml:space="preserve"> 包三餐服务</w:t>
            </w:r>
            <w:r>
              <w:rPr>
                <w:rFonts w:hint="eastAsia" w:ascii="仿宋" w:hAnsi="仿宋" w:eastAsia="仿宋" w:cs="仿宋"/>
                <w:sz w:val="21"/>
                <w:szCs w:val="21"/>
              </w:rPr>
              <w:t>）</w:t>
            </w:r>
          </w:p>
        </w:tc>
        <w:tc>
          <w:tcPr>
            <w:tcW w:w="2900"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约合人民币5万元</w:t>
            </w:r>
          </w:p>
        </w:tc>
        <w:tc>
          <w:tcPr>
            <w:tcW w:w="4157" w:type="dxa"/>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其中学校安排的住宿家庭费用与学费一同汇至西班牙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vertAlign w:val="baseline"/>
                <w:lang w:val="en-US" w:eastAsia="zh-CN" w:bidi="ar-SA"/>
              </w:rPr>
            </w:pPr>
            <w:r>
              <w:rPr>
                <w:rFonts w:hint="eastAsia" w:ascii="仿宋" w:hAnsi="仿宋" w:eastAsia="仿宋" w:cs="仿宋"/>
                <w:sz w:val="21"/>
                <w:szCs w:val="21"/>
                <w:vertAlign w:val="baseline"/>
                <w:lang w:val="en-US" w:eastAsia="zh-CN"/>
              </w:rPr>
              <w:t>日常生活费，以及未来的租房费用签证后由学生本人带出国</w:t>
            </w:r>
          </w:p>
        </w:tc>
      </w:tr>
    </w:tbl>
    <w:p>
      <w:pPr>
        <w:keepNext w:val="0"/>
        <w:keepLines w:val="0"/>
        <w:pageBreakBefore w:val="0"/>
        <w:numPr>
          <w:ilvl w:val="0"/>
          <w:numId w:val="0"/>
        </w:numPr>
        <w:kinsoku/>
        <w:wordWrap/>
        <w:overflowPunct/>
        <w:topLinePunct w:val="0"/>
        <w:bidi w:val="0"/>
        <w:spacing w:line="240" w:lineRule="auto"/>
        <w:ind w:leftChars="200"/>
        <w:jc w:val="left"/>
        <w:textAlignment w:val="auto"/>
        <w:rPr>
          <w:rFonts w:hint="eastAsia" w:ascii="仿宋" w:hAnsi="仿宋" w:eastAsia="仿宋" w:cs="仿宋"/>
          <w:sz w:val="20"/>
          <w:szCs w:val="20"/>
          <w:lang w:val="en-US" w:eastAsia="zh-CN"/>
        </w:rPr>
      </w:pPr>
    </w:p>
    <w:p>
      <w:pPr>
        <w:rPr>
          <w:rFonts w:hint="eastAsia" w:ascii="仿宋" w:hAnsi="仿宋" w:eastAsia="仿宋" w:cs="仿宋"/>
          <w:b/>
          <w:bCs/>
          <w:lang w:val="en-US" w:eastAsia="zh-CN"/>
        </w:rPr>
      </w:pPr>
      <w:r>
        <w:rPr>
          <w:rFonts w:hint="eastAsia" w:ascii="仿宋" w:hAnsi="仿宋" w:eastAsia="仿宋" w:cs="仿宋"/>
          <w:b/>
          <w:bCs/>
          <w:lang w:val="en-US" w:eastAsia="zh-CN"/>
        </w:rPr>
        <w:t>报名流程：</w:t>
      </w:r>
    </w:p>
    <w:p>
      <w:pPr>
        <w:rPr>
          <w:rFonts w:hint="default" w:ascii="仿宋" w:hAnsi="仿宋" w:eastAsia="仿宋" w:cs="仿宋"/>
          <w:b w:val="0"/>
          <w:bCs w:val="0"/>
          <w:color w:val="FF0000"/>
          <w:lang w:val="en-US" w:eastAsia="zh-CN"/>
        </w:rPr>
      </w:pPr>
      <w:r>
        <w:rPr>
          <w:rFonts w:hint="eastAsia" w:ascii="仿宋" w:hAnsi="仿宋" w:eastAsia="仿宋" w:cs="仿宋"/>
          <w:b w:val="0"/>
          <w:bCs w:val="0"/>
          <w:color w:val="FF0000"/>
          <w:lang w:val="en-US" w:eastAsia="zh-CN"/>
        </w:rPr>
        <w:t>秋季课程及年度课程报名截止日期：</w:t>
      </w:r>
      <w:r>
        <w:rPr>
          <w:rFonts w:hint="eastAsia" w:ascii="仿宋" w:hAnsi="仿宋" w:eastAsia="仿宋" w:cs="仿宋"/>
          <w:b w:val="0"/>
          <w:bCs w:val="0"/>
          <w:color w:val="FF0000"/>
          <w:highlight w:val="cyan"/>
          <w:lang w:val="en-US" w:eastAsia="zh-CN"/>
        </w:rPr>
        <w:t>2024年5月11日；</w:t>
      </w:r>
      <w:r>
        <w:rPr>
          <w:rFonts w:hint="eastAsia" w:ascii="仿宋" w:hAnsi="仿宋" w:eastAsia="仿宋" w:cs="仿宋"/>
          <w:b w:val="0"/>
          <w:bCs w:val="0"/>
          <w:color w:val="FF0000"/>
          <w:lang w:val="en-US" w:eastAsia="zh-CN"/>
        </w:rPr>
        <w:t>英语语言等级证书最晚6月份初递交</w:t>
      </w:r>
    </w:p>
    <w:p>
      <w:pPr>
        <w:rPr>
          <w:rFonts w:hint="default" w:ascii="仿宋" w:hAnsi="仿宋" w:eastAsia="仿宋" w:cs="仿宋"/>
          <w:b w:val="0"/>
          <w:bCs w:val="0"/>
          <w:lang w:val="en-US" w:eastAsia="zh-CN"/>
        </w:rPr>
      </w:pPr>
      <w:r>
        <w:rPr>
          <w:rFonts w:hint="eastAsia" w:ascii="仿宋" w:hAnsi="仿宋" w:eastAsia="仿宋" w:cs="仿宋"/>
          <w:b w:val="0"/>
          <w:bCs w:val="0"/>
          <w:lang w:val="en-US" w:eastAsia="zh-CN"/>
        </w:rPr>
        <w:t>春季课程报名截止日期：</w:t>
      </w:r>
      <w:r>
        <w:rPr>
          <w:rFonts w:hint="eastAsia" w:ascii="仿宋" w:hAnsi="仿宋" w:eastAsia="仿宋" w:cs="仿宋"/>
          <w:b w:val="0"/>
          <w:bCs w:val="0"/>
          <w:highlight w:val="cyan"/>
          <w:lang w:val="en-US" w:eastAsia="zh-CN"/>
        </w:rPr>
        <w:t>2024年9月15日；</w:t>
      </w:r>
      <w:r>
        <w:rPr>
          <w:rFonts w:hint="eastAsia" w:ascii="仿宋" w:hAnsi="仿宋" w:eastAsia="仿宋" w:cs="仿宋"/>
          <w:b w:val="0"/>
          <w:bCs w:val="0"/>
          <w:lang w:val="en-US" w:eastAsia="zh-CN"/>
        </w:rPr>
        <w:t>英语语言等级证书最晚11月递交</w:t>
      </w:r>
    </w:p>
    <w:p>
      <w:pPr>
        <w:rPr>
          <w:rFonts w:hint="eastAsia" w:ascii="仿宋" w:hAnsi="仿宋" w:eastAsia="仿宋" w:cs="仿宋"/>
          <w:b/>
          <w:bCs/>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t>学生应在截止日期之前向萨拉戈萨大学中方办公室负责老师递交报名确认书，并按规定递交英语语言等级证书；同时按照费用介绍条款要求按时缴纳相关注册费、学费及住宿费以便申请递交领馆的相关通知书文件；</w:t>
      </w:r>
    </w:p>
    <w:p>
      <w:pPr>
        <w:keepNext w:val="0"/>
        <w:keepLines w:val="0"/>
        <w:pageBreakBefore w:val="0"/>
        <w:numPr>
          <w:ilvl w:val="0"/>
          <w:numId w:val="0"/>
        </w:numPr>
        <w:kinsoku/>
        <w:wordWrap/>
        <w:overflowPunct/>
        <w:topLinePunct w:val="0"/>
        <w:bidi w:val="0"/>
        <w:spacing w:line="240" w:lineRule="auto"/>
        <w:jc w:val="left"/>
        <w:textAlignment w:val="auto"/>
        <w:rPr>
          <w:rFonts w:hint="eastAsia" w:ascii="仿宋" w:hAnsi="仿宋" w:eastAsia="仿宋" w:cs="仿宋"/>
          <w:sz w:val="20"/>
          <w:szCs w:val="20"/>
          <w:lang w:val="en-US" w:eastAsia="zh-CN"/>
        </w:rPr>
      </w:pPr>
    </w:p>
    <w:p>
      <w:pPr>
        <w:keepNext w:val="0"/>
        <w:keepLines w:val="0"/>
        <w:pageBreakBefore w:val="0"/>
        <w:numPr>
          <w:ilvl w:val="0"/>
          <w:numId w:val="0"/>
        </w:numPr>
        <w:kinsoku/>
        <w:wordWrap/>
        <w:overflowPunct/>
        <w:topLinePunct w:val="0"/>
        <w:bidi w:val="0"/>
        <w:spacing w:line="240" w:lineRule="auto"/>
        <w:ind w:leftChars="200"/>
        <w:jc w:val="left"/>
        <w:textAlignment w:val="auto"/>
        <w:rPr>
          <w:rFonts w:hint="eastAsia" w:ascii="仿宋" w:hAnsi="仿宋" w:eastAsia="仿宋" w:cs="仿宋"/>
          <w:sz w:val="20"/>
          <w:szCs w:val="20"/>
          <w:lang w:val="en-US" w:eastAsia="zh-CN"/>
        </w:rPr>
      </w:pPr>
    </w:p>
    <w:p>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联系方式：</w:t>
      </w:r>
    </w:p>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bCs w:val="0"/>
          <w:sz w:val="24"/>
          <w:szCs w:val="24"/>
        </w:rPr>
      </w:pPr>
      <w:r>
        <w:rPr>
          <w:rFonts w:hint="eastAsia" w:ascii="仿宋" w:hAnsi="仿宋" w:eastAsia="仿宋" w:cs="仿宋"/>
          <w:b/>
          <w:bCs w:val="0"/>
          <w:kern w:val="2"/>
          <w:sz w:val="24"/>
          <w:szCs w:val="24"/>
          <w:lang w:eastAsia="zh-CN"/>
        </w:rPr>
        <w:t>萨拉戈萨</w:t>
      </w:r>
      <w:r>
        <w:rPr>
          <w:rFonts w:hint="eastAsia" w:ascii="仿宋" w:hAnsi="仿宋" w:eastAsia="仿宋" w:cs="仿宋"/>
          <w:b/>
          <w:bCs w:val="0"/>
          <w:sz w:val="24"/>
          <w:szCs w:val="24"/>
        </w:rPr>
        <w:t>大学中国申请中心</w:t>
      </w:r>
    </w:p>
    <w:tbl>
      <w:tblPr>
        <w:tblStyle w:val="6"/>
        <w:tblpPr w:leftFromText="180" w:rightFromText="180" w:vertAnchor="text" w:horzAnchor="page" w:tblpX="946" w:tblpY="279"/>
        <w:tblOverlap w:val="never"/>
        <w:tblW w:w="97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74"/>
        <w:gridCol w:w="2098"/>
        <w:gridCol w:w="18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4" w:hRule="atLeast"/>
        </w:trPr>
        <w:tc>
          <w:tcPr>
            <w:tcW w:w="5774" w:type="dxa"/>
          </w:tcPr>
          <w:p>
            <w:pPr>
              <w:widowControl/>
              <w:jc w:val="left"/>
              <w:rPr>
                <w:rFonts w:hint="eastAsia" w:ascii="仿宋" w:hAnsi="仿宋" w:eastAsia="仿宋" w:cs="仿宋"/>
                <w:color w:val="auto"/>
                <w:kern w:val="0"/>
                <w:sz w:val="21"/>
                <w:szCs w:val="21"/>
              </w:rPr>
            </w:pPr>
          </w:p>
          <w:p>
            <w:pPr>
              <w:widowControl/>
              <w:jc w:val="left"/>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官网：www.myspain.cn、www.myspain.org</w:t>
            </w:r>
            <w:r>
              <w:rPr>
                <w:rFonts w:hint="default" w:ascii="Times New Roman" w:hAnsi="Times New Roman" w:eastAsia="仿宋" w:cs="Times New Roman"/>
                <w:color w:val="auto"/>
                <w:kern w:val="0"/>
                <w:sz w:val="24"/>
                <w:szCs w:val="24"/>
              </w:rPr>
              <w:br w:type="textWrapping"/>
            </w:r>
            <w:r>
              <w:rPr>
                <w:rFonts w:hint="default" w:ascii="Times New Roman" w:hAnsi="Times New Roman" w:eastAsia="仿宋" w:cs="Times New Roman"/>
                <w:color w:val="auto"/>
                <w:kern w:val="0"/>
                <w:sz w:val="24"/>
                <w:szCs w:val="24"/>
              </w:rPr>
              <w:t>电话：021-62565311、62565611、62177891、62177710</w:t>
            </w:r>
          </w:p>
          <w:p>
            <w:pPr>
              <w:widowControl/>
              <w:jc w:val="left"/>
              <w:rPr>
                <w:rFonts w:hint="default" w:ascii="Times New Roman" w:hAnsi="Times New Roman" w:eastAsia="仿宋" w:cs="Times New Roman"/>
                <w:color w:val="auto"/>
                <w:kern w:val="0"/>
                <w:sz w:val="24"/>
                <w:szCs w:val="24"/>
                <w:lang w:eastAsia="zh-CN"/>
              </w:rPr>
            </w:pPr>
            <w:r>
              <w:rPr>
                <w:rFonts w:hint="default" w:ascii="Times New Roman" w:hAnsi="Times New Roman" w:eastAsia="仿宋" w:cs="Times New Roman"/>
                <w:color w:val="auto"/>
                <w:kern w:val="0"/>
                <w:sz w:val="24"/>
                <w:szCs w:val="24"/>
                <w:lang w:eastAsia="zh-CN"/>
              </w:rPr>
              <w:t>联系人</w:t>
            </w:r>
            <w:r>
              <w:rPr>
                <w:rFonts w:hint="eastAsia" w:ascii="Times New Roman" w:hAnsi="Times New Roman" w:eastAsia="仿宋" w:cs="Times New Roman"/>
                <w:color w:val="auto"/>
                <w:kern w:val="0"/>
                <w:sz w:val="24"/>
                <w:szCs w:val="24"/>
                <w:lang w:eastAsia="zh-CN"/>
              </w:rPr>
              <w:t>：</w:t>
            </w:r>
            <w:r>
              <w:rPr>
                <w:rFonts w:hint="default" w:ascii="Times New Roman" w:hAnsi="Times New Roman" w:eastAsia="仿宋" w:cs="Times New Roman"/>
                <w:color w:val="auto"/>
                <w:kern w:val="0"/>
                <w:sz w:val="24"/>
                <w:szCs w:val="24"/>
                <w:lang w:eastAsia="zh-CN"/>
              </w:rPr>
              <w:t>朱老师</w:t>
            </w:r>
          </w:p>
          <w:p>
            <w:pPr>
              <w:widowControl/>
              <w:jc w:val="left"/>
              <w:rPr>
                <w:rFonts w:hint="default" w:ascii="Times New Roman" w:hAnsi="Times New Roman" w:eastAsia="仿宋" w:cs="Times New Roman"/>
                <w:color w:val="auto"/>
                <w:kern w:val="0"/>
                <w:sz w:val="24"/>
                <w:szCs w:val="24"/>
                <w:lang w:eastAsia="zh-CN"/>
              </w:rPr>
            </w:pPr>
            <w:r>
              <w:rPr>
                <w:rFonts w:hint="default" w:ascii="Times New Roman" w:hAnsi="Times New Roman" w:eastAsia="仿宋" w:cs="Times New Roman"/>
                <w:color w:val="auto"/>
                <w:kern w:val="0"/>
                <w:sz w:val="24"/>
                <w:szCs w:val="24"/>
                <w:lang w:eastAsia="zh-CN"/>
              </w:rPr>
              <w:t>电话：18117577461</w:t>
            </w:r>
          </w:p>
          <w:p>
            <w:pPr>
              <w:widowControl/>
              <w:jc w:val="left"/>
              <w:rPr>
                <w:rFonts w:hint="default" w:ascii="Times New Roman" w:hAnsi="Times New Roman" w:eastAsia="仿宋" w:cs="Times New Roman"/>
                <w:color w:val="auto"/>
                <w:kern w:val="0"/>
                <w:sz w:val="24"/>
                <w:szCs w:val="24"/>
                <w:vertAlign w:val="baseline"/>
                <w:lang w:val="en-US" w:eastAsia="zh-CN"/>
              </w:rPr>
            </w:pPr>
            <w:r>
              <w:rPr>
                <w:rFonts w:hint="default" w:ascii="Times New Roman" w:hAnsi="Times New Roman" w:eastAsia="仿宋" w:cs="Times New Roman"/>
                <w:color w:val="auto"/>
                <w:kern w:val="0"/>
                <w:sz w:val="24"/>
                <w:szCs w:val="24"/>
                <w:vertAlign w:val="baseline"/>
                <w:lang w:val="en-US" w:eastAsia="zh-CN"/>
              </w:rPr>
              <w:t>电邮：</w:t>
            </w:r>
            <w:r>
              <w:rPr>
                <w:rFonts w:hint="default" w:ascii="Times New Roman" w:hAnsi="Times New Roman" w:eastAsia="仿宋" w:cs="Times New Roman"/>
                <w:color w:val="auto"/>
                <w:kern w:val="0"/>
                <w:sz w:val="24"/>
                <w:szCs w:val="24"/>
                <w:vertAlign w:val="baseline"/>
                <w:lang w:val="en-US" w:eastAsia="zh-CN"/>
              </w:rPr>
              <w:fldChar w:fldCharType="begin"/>
            </w:r>
            <w:r>
              <w:rPr>
                <w:rFonts w:hint="default" w:ascii="Times New Roman" w:hAnsi="Times New Roman" w:eastAsia="仿宋" w:cs="Times New Roman"/>
                <w:color w:val="auto"/>
                <w:kern w:val="0"/>
                <w:sz w:val="24"/>
                <w:szCs w:val="24"/>
                <w:vertAlign w:val="baseline"/>
                <w:lang w:val="en-US" w:eastAsia="zh-CN"/>
              </w:rPr>
              <w:instrText xml:space="preserve"> HYPERLINK "mailto:Project1@myspain.org" </w:instrText>
            </w:r>
            <w:r>
              <w:rPr>
                <w:rFonts w:hint="default" w:ascii="Times New Roman" w:hAnsi="Times New Roman" w:eastAsia="仿宋" w:cs="Times New Roman"/>
                <w:color w:val="auto"/>
                <w:kern w:val="0"/>
                <w:sz w:val="24"/>
                <w:szCs w:val="24"/>
                <w:vertAlign w:val="baseline"/>
                <w:lang w:val="en-US" w:eastAsia="zh-CN"/>
              </w:rPr>
              <w:fldChar w:fldCharType="separate"/>
            </w:r>
            <w:r>
              <w:rPr>
                <w:rStyle w:val="9"/>
                <w:rFonts w:hint="default" w:ascii="Times New Roman" w:hAnsi="Times New Roman" w:eastAsia="仿宋" w:cs="Times New Roman"/>
                <w:kern w:val="0"/>
                <w:sz w:val="24"/>
                <w:szCs w:val="24"/>
                <w:vertAlign w:val="baseline"/>
                <w:lang w:val="en-US" w:eastAsia="zh-CN"/>
              </w:rPr>
              <w:t>Project1@myspain.org</w:t>
            </w:r>
            <w:r>
              <w:rPr>
                <w:rFonts w:hint="default" w:ascii="Times New Roman" w:hAnsi="Times New Roman" w:eastAsia="仿宋" w:cs="Times New Roman"/>
                <w:color w:val="auto"/>
                <w:kern w:val="0"/>
                <w:sz w:val="24"/>
                <w:szCs w:val="24"/>
                <w:vertAlign w:val="baseline"/>
                <w:lang w:val="en-US" w:eastAsia="zh-CN"/>
              </w:rPr>
              <w:fldChar w:fldCharType="end"/>
            </w:r>
          </w:p>
          <w:p>
            <w:pPr>
              <w:widowControl/>
              <w:jc w:val="left"/>
              <w:rPr>
                <w:rFonts w:hint="eastAsia" w:ascii="仿宋" w:hAnsi="仿宋" w:eastAsia="仿宋" w:cs="仿宋"/>
                <w:color w:val="auto"/>
                <w:kern w:val="0"/>
                <w:sz w:val="18"/>
                <w:szCs w:val="18"/>
                <w:vertAlign w:val="baseline"/>
                <w:lang w:val="en-US" w:eastAsia="zh-CN"/>
              </w:rPr>
            </w:pPr>
            <w:r>
              <w:rPr>
                <w:rFonts w:hint="default" w:ascii="Times New Roman" w:hAnsi="Times New Roman" w:eastAsia="仿宋" w:cs="Times New Roman"/>
                <w:color w:val="auto"/>
                <w:kern w:val="0"/>
                <w:sz w:val="24"/>
                <w:szCs w:val="24"/>
                <w:vertAlign w:val="baseline"/>
                <w:lang w:val="en-US" w:eastAsia="zh-CN"/>
              </w:rPr>
              <w:t>微信：Sisuangie</w:t>
            </w:r>
          </w:p>
        </w:tc>
        <w:tc>
          <w:tcPr>
            <w:tcW w:w="2098" w:type="dxa"/>
          </w:tcPr>
          <w:p>
            <w:pPr>
              <w:widowControl/>
              <w:jc w:val="center"/>
              <w:rPr>
                <w:rFonts w:hint="eastAsia" w:ascii="仿宋" w:hAnsi="仿宋" w:eastAsia="仿宋" w:cs="仿宋"/>
                <w:color w:val="auto"/>
                <w:kern w:val="0"/>
                <w:sz w:val="21"/>
                <w:szCs w:val="21"/>
                <w:lang w:val="en-US" w:eastAsia="zh-CN"/>
              </w:rPr>
            </w:pPr>
            <w:r>
              <w:rPr>
                <w:rFonts w:hint="eastAsia" w:ascii="仿宋" w:hAnsi="仿宋" w:eastAsia="仿宋" w:cs="仿宋"/>
                <w:b/>
                <w:bCs/>
                <w:color w:val="auto"/>
                <w:kern w:val="0"/>
                <w:sz w:val="21"/>
                <w:szCs w:val="21"/>
                <w:lang w:val="en-US" w:eastAsia="zh-CN"/>
              </w:rPr>
              <w:t>咨询及报名通道</w:t>
            </w:r>
          </w:p>
          <w:p>
            <w:pPr>
              <w:widowControl/>
              <w:jc w:val="center"/>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vertAlign w:val="baseline"/>
                <w:lang w:val="en-US" w:eastAsia="zh-CN"/>
              </w:rPr>
              <w:drawing>
                <wp:inline distT="0" distB="0" distL="114300" distR="114300">
                  <wp:extent cx="864235" cy="864235"/>
                  <wp:effectExtent l="0" t="0" r="12065" b="12065"/>
                  <wp:docPr id="1" name="图片 1" descr="fd6d31c34d9353206749aaaf911c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d6d31c34d9353206749aaaf911c241"/>
                          <pic:cNvPicPr>
                            <a:picLocks noChangeAspect="1"/>
                          </pic:cNvPicPr>
                        </pic:nvPicPr>
                        <pic:blipFill>
                          <a:blip r:embed="rId8"/>
                          <a:stretch>
                            <a:fillRect/>
                          </a:stretch>
                        </pic:blipFill>
                        <pic:spPr>
                          <a:xfrm>
                            <a:off x="0" y="0"/>
                            <a:ext cx="864235" cy="864235"/>
                          </a:xfrm>
                          <a:prstGeom prst="rect">
                            <a:avLst/>
                          </a:prstGeom>
                        </pic:spPr>
                      </pic:pic>
                    </a:graphicData>
                  </a:graphic>
                </wp:inline>
              </w:drawing>
            </w:r>
          </w:p>
          <w:p>
            <w:pPr>
              <w:widowControl/>
              <w:jc w:val="left"/>
              <w:rPr>
                <w:rFonts w:hint="eastAsia" w:ascii="仿宋" w:hAnsi="仿宋" w:eastAsia="仿宋" w:cs="仿宋"/>
                <w:color w:val="auto"/>
                <w:kern w:val="0"/>
                <w:sz w:val="21"/>
                <w:szCs w:val="21"/>
                <w:lang w:val="en-US" w:eastAsia="zh-CN"/>
              </w:rPr>
            </w:pPr>
          </w:p>
          <w:p>
            <w:pPr>
              <w:widowControl/>
              <w:jc w:val="left"/>
              <w:rPr>
                <w:rFonts w:hint="eastAsia" w:ascii="仿宋" w:hAnsi="仿宋" w:eastAsia="仿宋" w:cs="仿宋"/>
                <w:color w:val="auto"/>
                <w:kern w:val="0"/>
                <w:sz w:val="21"/>
                <w:szCs w:val="21"/>
                <w:vertAlign w:val="baseline"/>
                <w:lang w:val="en-US" w:eastAsia="zh-CN"/>
              </w:rPr>
            </w:pPr>
          </w:p>
        </w:tc>
        <w:tc>
          <w:tcPr>
            <w:tcW w:w="1846" w:type="dxa"/>
          </w:tcPr>
          <w:p>
            <w:pPr>
              <w:widowControl/>
              <w:jc w:val="center"/>
              <w:rPr>
                <w:rFonts w:hint="eastAsia" w:ascii="仿宋" w:hAnsi="仿宋" w:eastAsia="仿宋" w:cs="仿宋"/>
                <w:b/>
                <w:bCs/>
                <w:color w:val="auto"/>
                <w:kern w:val="0"/>
                <w:sz w:val="21"/>
                <w:szCs w:val="21"/>
                <w:vertAlign w:val="baseline"/>
                <w:lang w:val="en-US" w:eastAsia="zh-CN"/>
              </w:rPr>
            </w:pPr>
            <w:r>
              <w:rPr>
                <w:rFonts w:hint="eastAsia" w:ascii="仿宋" w:hAnsi="仿宋" w:eastAsia="仿宋" w:cs="仿宋"/>
                <w:b/>
                <w:bCs/>
                <w:color w:val="auto"/>
                <w:kern w:val="0"/>
                <w:sz w:val="21"/>
                <w:szCs w:val="21"/>
                <w:vertAlign w:val="baseline"/>
                <w:lang w:val="en-US" w:eastAsia="zh-CN"/>
              </w:rPr>
              <w:t>留学及就业资讯</w:t>
            </w:r>
          </w:p>
          <w:p>
            <w:pPr>
              <w:widowControl/>
              <w:jc w:val="left"/>
              <w:rPr>
                <w:rFonts w:hint="eastAsia" w:ascii="仿宋" w:hAnsi="仿宋" w:eastAsia="仿宋" w:cs="仿宋"/>
                <w:color w:val="auto"/>
                <w:kern w:val="0"/>
                <w:sz w:val="21"/>
                <w:szCs w:val="21"/>
                <w:vertAlign w:val="baseline"/>
                <w:lang w:val="en-US" w:eastAsia="zh-CN"/>
              </w:rPr>
            </w:pPr>
            <w:r>
              <w:rPr>
                <w:rFonts w:hint="eastAsia" w:ascii="仿宋" w:hAnsi="仿宋" w:eastAsia="仿宋" w:cs="仿宋"/>
                <w:color w:val="auto"/>
                <w:kern w:val="0"/>
                <w:sz w:val="21"/>
                <w:szCs w:val="21"/>
              </w:rPr>
              <w:drawing>
                <wp:inline distT="0" distB="0" distL="114300" distR="114300">
                  <wp:extent cx="956310" cy="956310"/>
                  <wp:effectExtent l="0" t="0" r="8890" b="8890"/>
                  <wp:docPr id="9" name="图片 9" descr="c2674dd1f292b825547624e25b0d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2674dd1f292b825547624e25b0d990"/>
                          <pic:cNvPicPr>
                            <a:picLocks noChangeAspect="1"/>
                          </pic:cNvPicPr>
                        </pic:nvPicPr>
                        <pic:blipFill>
                          <a:blip r:embed="rId9"/>
                          <a:stretch>
                            <a:fillRect/>
                          </a:stretch>
                        </pic:blipFill>
                        <pic:spPr>
                          <a:xfrm>
                            <a:off x="0" y="0"/>
                            <a:ext cx="956310" cy="956310"/>
                          </a:xfrm>
                          <a:prstGeom prst="rect">
                            <a:avLst/>
                          </a:prstGeom>
                        </pic:spPr>
                      </pic:pic>
                    </a:graphicData>
                  </a:graphic>
                </wp:inline>
              </w:drawing>
            </w:r>
          </w:p>
        </w:tc>
      </w:tr>
    </w:tbl>
    <w:p>
      <w:pPr>
        <w:keepNext w:val="0"/>
        <w:keepLines w:val="0"/>
        <w:pageBreakBefore w:val="0"/>
        <w:widowControl/>
        <w:kinsoku/>
        <w:wordWrap/>
        <w:overflowPunct/>
        <w:topLinePunct w:val="0"/>
        <w:bidi w:val="0"/>
        <w:spacing w:line="240" w:lineRule="auto"/>
        <w:jc w:val="left"/>
        <w:textAlignment w:val="auto"/>
        <w:rPr>
          <w:rFonts w:hint="eastAsia" w:ascii="仿宋" w:hAnsi="仿宋" w:eastAsia="仿宋" w:cs="仿宋"/>
          <w:b/>
          <w:sz w:val="20"/>
          <w:szCs w:val="20"/>
        </w:rPr>
      </w:pPr>
      <w:bookmarkStart w:id="0" w:name="_GoBack"/>
      <w:bookmarkEnd w:id="0"/>
    </w:p>
    <w:sectPr>
      <w:headerReference r:id="rId3" w:type="default"/>
      <w:footerReference r:id="rId4" w:type="default"/>
      <w:pgSz w:w="11906" w:h="16838"/>
      <w:pgMar w:top="1871" w:right="936" w:bottom="1417" w:left="9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思源黑体 CN Regular">
    <w:altName w:val="微软雅黑"/>
    <w:panose1 w:val="00000000000000000000"/>
    <w:charset w:val="86"/>
    <w:family w:val="swiss"/>
    <w:pitch w:val="default"/>
    <w:sig w:usb0="00000000" w:usb1="00000000" w:usb2="00000016" w:usb3="00000000" w:csb0="0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思源黑体 CN Regular" w:hAnsi="思源黑体 CN Regular" w:eastAsia="思源黑体 CN Regular"/>
        <w:sz w:val="18"/>
        <w:szCs w:val="18"/>
      </w:rPr>
    </w:pPr>
    <w:r>
      <w:rPr>
        <w:rFonts w:hint="eastAsia" w:ascii="思源黑体 CN Regular" w:hAnsi="思源黑体 CN Regular" w:eastAsia="思源黑体 CN Regular"/>
      </w:rPr>
      <mc:AlternateContent>
        <mc:Choice Requires="wps">
          <w:drawing>
            <wp:anchor distT="0" distB="0" distL="114300" distR="114300" simplePos="0" relativeHeight="251659264" behindDoc="0" locked="0" layoutInCell="1" allowOverlap="1">
              <wp:simplePos x="0" y="0"/>
              <wp:positionH relativeFrom="page">
                <wp:posOffset>4445</wp:posOffset>
              </wp:positionH>
              <wp:positionV relativeFrom="paragraph">
                <wp:posOffset>-13335</wp:posOffset>
              </wp:positionV>
              <wp:extent cx="189230" cy="482600"/>
              <wp:effectExtent l="0" t="0" r="1270" b="0"/>
              <wp:wrapNone/>
              <wp:docPr id="5" name="矩形 5"/>
              <wp:cNvGraphicFramePr/>
              <a:graphic xmlns:a="http://schemas.openxmlformats.org/drawingml/2006/main">
                <a:graphicData uri="http://schemas.microsoft.com/office/word/2010/wordprocessingShape">
                  <wps:wsp>
                    <wps:cNvSpPr/>
                    <wps:spPr>
                      <a:xfrm>
                        <a:off x="0" y="0"/>
                        <a:ext cx="189230" cy="482600"/>
                      </a:xfrm>
                      <a:prstGeom prst="rect">
                        <a:avLst/>
                      </a:prstGeom>
                      <a:solidFill>
                        <a:srgbClr val="196FB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35pt;margin-top:-1.05pt;height:38pt;width:14.9pt;mso-position-horizontal-relative:page;z-index:251659264;v-text-anchor:middle;mso-width-relative:page;mso-height-relative:page;" fillcolor="#196FB8" filled="t" stroked="f" coordsize="21600,21600" o:gfxdata="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lE9jn&#10;0wAAAAUBAAAPAAAAAAAAAAEAIAAAACIAAABkcnMvZG93bnJldi54bWxQSwECFAAUAAAACACHTuJA&#10;3QWMyl8CAACzBAAADgAAAAAAAAABACAAAAAiAQAAZHJzL2Uyb0RvYy54bWxQSwUGAAAAAAYABgBZ&#10;AQAA8wUAAAAA&#10;">
              <v:fill on="t" focussize="0,0"/>
              <v:stroke on="f" weight="2pt"/>
              <v:imagedata o:title=""/>
              <o:lock v:ext="edit" aspectratio="f"/>
            </v:rect>
          </w:pict>
        </mc:Fallback>
      </mc:AlternateContent>
    </w:r>
    <w:r>
      <w:rPr>
        <w:rFonts w:hint="eastAsia" w:ascii="思源黑体 CN Regular" w:hAnsi="思源黑体 CN Regular" w:eastAsia="思源黑体 CN Regular"/>
        <w:sz w:val="18"/>
        <w:szCs w:val="18"/>
      </w:rPr>
      <w:t>上海市</w:t>
    </w:r>
    <w:r>
      <w:rPr>
        <w:rFonts w:hint="eastAsia" w:ascii="思源黑体 CN Regular" w:hAnsi="思源黑体 CN Regular" w:eastAsia="思源黑体 CN Regular"/>
        <w:sz w:val="18"/>
        <w:szCs w:val="18"/>
        <w:lang w:val="en-US" w:eastAsia="zh-CN"/>
      </w:rPr>
      <w:t xml:space="preserve">长宁区仙霞路333号东方维京大厦5B1 </w:t>
    </w:r>
    <w:r>
      <w:rPr>
        <w:rFonts w:ascii="思源黑体 CN Regular" w:hAnsi="思源黑体 CN Regular" w:eastAsia="思源黑体 CN Regular"/>
        <w:sz w:val="18"/>
        <w:szCs w:val="18"/>
      </w:rPr>
      <w:t xml:space="preserve"> 021-62565611</w:t>
    </w:r>
  </w:p>
  <w:p>
    <w:pPr>
      <w:rPr>
        <w:rFonts w:ascii="思源黑体 CN Regular" w:hAnsi="思源黑体 CN Regular" w:eastAsia="思源黑体 CN Regular"/>
        <w:sz w:val="18"/>
        <w:szCs w:val="18"/>
        <w:lang w:val="es-ES"/>
      </w:rPr>
    </w:pPr>
    <w:r>
      <w:rPr>
        <w:rFonts w:ascii="思源黑体 CN Regular" w:hAnsi="思源黑体 CN Regular" w:eastAsia="思源黑体 CN Regular"/>
        <w:sz w:val="18"/>
        <w:szCs w:val="18"/>
        <w:lang w:val="es-ES"/>
      </w:rPr>
      <w:t>Gran Vía, 62, 8d, 28013, Madrid, Spain</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2"/>
      </w:pBdr>
    </w:pPr>
    <w:r>
      <w:drawing>
        <wp:anchor distT="0" distB="0" distL="114300" distR="114300" simplePos="0" relativeHeight="251661312" behindDoc="0" locked="0" layoutInCell="1" allowOverlap="1">
          <wp:simplePos x="0" y="0"/>
          <wp:positionH relativeFrom="margin">
            <wp:posOffset>4609465</wp:posOffset>
          </wp:positionH>
          <wp:positionV relativeFrom="margin">
            <wp:posOffset>-902970</wp:posOffset>
          </wp:positionV>
          <wp:extent cx="1379220" cy="457835"/>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79220" cy="457835"/>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27940</wp:posOffset>
          </wp:positionH>
          <wp:positionV relativeFrom="paragraph">
            <wp:posOffset>-334645</wp:posOffset>
          </wp:positionV>
          <wp:extent cx="1649095" cy="596265"/>
          <wp:effectExtent l="0" t="0" r="1905" b="635"/>
          <wp:wrapSquare wrapText="bothSides"/>
          <wp:docPr id="140293" name="Picture 2" descr="C:\Users\MySpain\AppData\Roaming\Tencent\Users\2434563682\QQ\WinTemp\RichOle\~`JAMC9W3V}]TNU)Y}DCBK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3" name="Picture 2" descr="C:\Users\MySpain\AppData\Roaming\Tencent\Users\2434563682\QQ\WinTemp\RichOle\~`JAMC9W3V}]TNU)Y}DCBKS.png"/>
                  <pic:cNvPicPr>
                    <a:picLocks noChangeAspect="1"/>
                  </pic:cNvPicPr>
                </pic:nvPicPr>
                <pic:blipFill>
                  <a:blip r:embed="rId2">
                    <a:clrChange>
                      <a:clrFrom>
                        <a:srgbClr val="FFFFFF">
                          <a:alpha val="100000"/>
                        </a:srgbClr>
                      </a:clrFrom>
                      <a:clrTo>
                        <a:srgbClr val="FFFFFF">
                          <a:alpha val="100000"/>
                          <a:alpha val="0"/>
                        </a:srgbClr>
                      </a:clrTo>
                    </a:clrChange>
                  </a:blip>
                  <a:stretch>
                    <a:fillRect/>
                  </a:stretch>
                </pic:blipFill>
                <pic:spPr>
                  <a:xfrm>
                    <a:off x="0" y="0"/>
                    <a:ext cx="1649095" cy="59626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37CE8D"/>
    <w:multiLevelType w:val="singleLevel"/>
    <w:tmpl w:val="C137CE8D"/>
    <w:lvl w:ilvl="0" w:tentative="0">
      <w:start w:val="1"/>
      <w:numFmt w:val="bullet"/>
      <w:lvlText w:val=""/>
      <w:lvlJc w:val="left"/>
      <w:pPr>
        <w:ind w:left="420" w:hanging="420"/>
      </w:pPr>
      <w:rPr>
        <w:rFonts w:hint="default" w:ascii="Wingdings" w:hAnsi="Wingdings"/>
      </w:rPr>
    </w:lvl>
  </w:abstractNum>
  <w:abstractNum w:abstractNumId="1">
    <w:nsid w:val="CD6F5C72"/>
    <w:multiLevelType w:val="singleLevel"/>
    <w:tmpl w:val="CD6F5C72"/>
    <w:lvl w:ilvl="0" w:tentative="0">
      <w:start w:val="1"/>
      <w:numFmt w:val="bullet"/>
      <w:lvlText w:val=""/>
      <w:lvlJc w:val="left"/>
      <w:pPr>
        <w:ind w:left="420" w:hanging="420"/>
      </w:pPr>
      <w:rPr>
        <w:rFonts w:hint="default" w:ascii="Wingdings" w:hAnsi="Wingdings"/>
      </w:rPr>
    </w:lvl>
  </w:abstractNum>
  <w:abstractNum w:abstractNumId="2">
    <w:nsid w:val="157E2754"/>
    <w:multiLevelType w:val="singleLevel"/>
    <w:tmpl w:val="157E2754"/>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zMTc2MmJmOTI2ZDZhYTJhYmJjMWZkY2E2YzFhOGIifQ=="/>
  </w:docVars>
  <w:rsids>
    <w:rsidRoot w:val="00665BCE"/>
    <w:rsid w:val="000142C8"/>
    <w:rsid w:val="00043E77"/>
    <w:rsid w:val="00074397"/>
    <w:rsid w:val="000A19D3"/>
    <w:rsid w:val="000D0FD2"/>
    <w:rsid w:val="000F4DEA"/>
    <w:rsid w:val="0013206D"/>
    <w:rsid w:val="0013488C"/>
    <w:rsid w:val="00136492"/>
    <w:rsid w:val="00190A1F"/>
    <w:rsid w:val="0019587C"/>
    <w:rsid w:val="001B74CB"/>
    <w:rsid w:val="001F1F47"/>
    <w:rsid w:val="00256E78"/>
    <w:rsid w:val="00283F01"/>
    <w:rsid w:val="00284AD1"/>
    <w:rsid w:val="002850EE"/>
    <w:rsid w:val="00323EC6"/>
    <w:rsid w:val="00346B3D"/>
    <w:rsid w:val="00376AF2"/>
    <w:rsid w:val="003A4842"/>
    <w:rsid w:val="003D5E19"/>
    <w:rsid w:val="003E1641"/>
    <w:rsid w:val="0043046E"/>
    <w:rsid w:val="004C38BD"/>
    <w:rsid w:val="004D29F6"/>
    <w:rsid w:val="004F64B0"/>
    <w:rsid w:val="005251A1"/>
    <w:rsid w:val="00540654"/>
    <w:rsid w:val="00550D7D"/>
    <w:rsid w:val="0055352C"/>
    <w:rsid w:val="00561BC7"/>
    <w:rsid w:val="00594FD7"/>
    <w:rsid w:val="005A717A"/>
    <w:rsid w:val="005B10A4"/>
    <w:rsid w:val="005C6B91"/>
    <w:rsid w:val="005C7321"/>
    <w:rsid w:val="00606B73"/>
    <w:rsid w:val="00615904"/>
    <w:rsid w:val="006252F5"/>
    <w:rsid w:val="00625890"/>
    <w:rsid w:val="00665BCE"/>
    <w:rsid w:val="006851A7"/>
    <w:rsid w:val="006A2515"/>
    <w:rsid w:val="006A5353"/>
    <w:rsid w:val="006C4A3C"/>
    <w:rsid w:val="006D3DBF"/>
    <w:rsid w:val="006E4F19"/>
    <w:rsid w:val="00706A19"/>
    <w:rsid w:val="007267F8"/>
    <w:rsid w:val="007800A8"/>
    <w:rsid w:val="00783A62"/>
    <w:rsid w:val="0079567A"/>
    <w:rsid w:val="007A772C"/>
    <w:rsid w:val="007D0B11"/>
    <w:rsid w:val="007E1A51"/>
    <w:rsid w:val="007F55F9"/>
    <w:rsid w:val="0082187C"/>
    <w:rsid w:val="00823A98"/>
    <w:rsid w:val="008C390E"/>
    <w:rsid w:val="008D3DFD"/>
    <w:rsid w:val="008F3940"/>
    <w:rsid w:val="008F4A92"/>
    <w:rsid w:val="00903768"/>
    <w:rsid w:val="0094781D"/>
    <w:rsid w:val="009536EE"/>
    <w:rsid w:val="00960BE0"/>
    <w:rsid w:val="00967F51"/>
    <w:rsid w:val="009A06DE"/>
    <w:rsid w:val="009B6D0D"/>
    <w:rsid w:val="009B6D4D"/>
    <w:rsid w:val="009F5445"/>
    <w:rsid w:val="00A0098D"/>
    <w:rsid w:val="00A332DF"/>
    <w:rsid w:val="00A35694"/>
    <w:rsid w:val="00A52D44"/>
    <w:rsid w:val="00A65A29"/>
    <w:rsid w:val="00A66118"/>
    <w:rsid w:val="00A6769E"/>
    <w:rsid w:val="00A7191E"/>
    <w:rsid w:val="00A93A01"/>
    <w:rsid w:val="00AC51D2"/>
    <w:rsid w:val="00AF641B"/>
    <w:rsid w:val="00B120C4"/>
    <w:rsid w:val="00B1298F"/>
    <w:rsid w:val="00B2420A"/>
    <w:rsid w:val="00B31111"/>
    <w:rsid w:val="00B3261C"/>
    <w:rsid w:val="00B3278E"/>
    <w:rsid w:val="00B43AA3"/>
    <w:rsid w:val="00B4632A"/>
    <w:rsid w:val="00B5355C"/>
    <w:rsid w:val="00B561D6"/>
    <w:rsid w:val="00B82C1D"/>
    <w:rsid w:val="00BA2CE0"/>
    <w:rsid w:val="00BB1BBD"/>
    <w:rsid w:val="00BB5F5E"/>
    <w:rsid w:val="00BF3BA6"/>
    <w:rsid w:val="00C10FEA"/>
    <w:rsid w:val="00C2131D"/>
    <w:rsid w:val="00C32A37"/>
    <w:rsid w:val="00C36A2D"/>
    <w:rsid w:val="00C52B2C"/>
    <w:rsid w:val="00C53648"/>
    <w:rsid w:val="00C64A1E"/>
    <w:rsid w:val="00C832D5"/>
    <w:rsid w:val="00C9790F"/>
    <w:rsid w:val="00CA64D1"/>
    <w:rsid w:val="00CA7464"/>
    <w:rsid w:val="00D05D35"/>
    <w:rsid w:val="00D46C05"/>
    <w:rsid w:val="00D5123A"/>
    <w:rsid w:val="00D75B60"/>
    <w:rsid w:val="00D80EF3"/>
    <w:rsid w:val="00D95A56"/>
    <w:rsid w:val="00D96020"/>
    <w:rsid w:val="00DA2FDD"/>
    <w:rsid w:val="00DD032D"/>
    <w:rsid w:val="00E14FAC"/>
    <w:rsid w:val="00EC39EC"/>
    <w:rsid w:val="00ED20EF"/>
    <w:rsid w:val="00ED3A3D"/>
    <w:rsid w:val="00F03818"/>
    <w:rsid w:val="00F079E9"/>
    <w:rsid w:val="00F471FB"/>
    <w:rsid w:val="00F66D05"/>
    <w:rsid w:val="00F95616"/>
    <w:rsid w:val="00FA7090"/>
    <w:rsid w:val="00FF39FF"/>
    <w:rsid w:val="062218A4"/>
    <w:rsid w:val="080A538D"/>
    <w:rsid w:val="09AF4121"/>
    <w:rsid w:val="09B266C6"/>
    <w:rsid w:val="09F55909"/>
    <w:rsid w:val="0D3D6F6B"/>
    <w:rsid w:val="0EDD334A"/>
    <w:rsid w:val="118E44DC"/>
    <w:rsid w:val="11DA4B39"/>
    <w:rsid w:val="120D4058"/>
    <w:rsid w:val="12F708E7"/>
    <w:rsid w:val="135507CC"/>
    <w:rsid w:val="13572CFF"/>
    <w:rsid w:val="141D3828"/>
    <w:rsid w:val="15AD66AA"/>
    <w:rsid w:val="15ED17B3"/>
    <w:rsid w:val="1D3F38E6"/>
    <w:rsid w:val="1DF2268E"/>
    <w:rsid w:val="20476170"/>
    <w:rsid w:val="20965774"/>
    <w:rsid w:val="217B7DC4"/>
    <w:rsid w:val="22A87B75"/>
    <w:rsid w:val="22FB05BD"/>
    <w:rsid w:val="24800500"/>
    <w:rsid w:val="251A0B90"/>
    <w:rsid w:val="25693F31"/>
    <w:rsid w:val="2A7A5A44"/>
    <w:rsid w:val="31772EC7"/>
    <w:rsid w:val="32BD7BD4"/>
    <w:rsid w:val="33716BC0"/>
    <w:rsid w:val="337B1B69"/>
    <w:rsid w:val="33D07587"/>
    <w:rsid w:val="33F04EB6"/>
    <w:rsid w:val="340A0022"/>
    <w:rsid w:val="393B0C7E"/>
    <w:rsid w:val="39CD0CF6"/>
    <w:rsid w:val="3A6F6E31"/>
    <w:rsid w:val="3AC0768C"/>
    <w:rsid w:val="3B181276"/>
    <w:rsid w:val="3C6E38EE"/>
    <w:rsid w:val="3DAD4BA5"/>
    <w:rsid w:val="3FCA690E"/>
    <w:rsid w:val="4037219F"/>
    <w:rsid w:val="40D07D0B"/>
    <w:rsid w:val="411E2F65"/>
    <w:rsid w:val="453F4F8E"/>
    <w:rsid w:val="4574763F"/>
    <w:rsid w:val="47CB0C4B"/>
    <w:rsid w:val="497642D1"/>
    <w:rsid w:val="49D7054F"/>
    <w:rsid w:val="4C33604D"/>
    <w:rsid w:val="4C737F75"/>
    <w:rsid w:val="52F70E33"/>
    <w:rsid w:val="59A83BAB"/>
    <w:rsid w:val="59D572CF"/>
    <w:rsid w:val="5D02606B"/>
    <w:rsid w:val="5D1F77E7"/>
    <w:rsid w:val="5EA90EB6"/>
    <w:rsid w:val="5F1576F7"/>
    <w:rsid w:val="61A24698"/>
    <w:rsid w:val="620F0948"/>
    <w:rsid w:val="62D41677"/>
    <w:rsid w:val="65AB5A5D"/>
    <w:rsid w:val="6A9260A0"/>
    <w:rsid w:val="6DC62E51"/>
    <w:rsid w:val="71224321"/>
    <w:rsid w:val="71DB20DB"/>
    <w:rsid w:val="737B543B"/>
    <w:rsid w:val="74E8168C"/>
    <w:rsid w:val="757F5473"/>
    <w:rsid w:val="759E615E"/>
    <w:rsid w:val="781508AA"/>
    <w:rsid w:val="789C050D"/>
    <w:rsid w:val="78A420D1"/>
    <w:rsid w:val="79642B87"/>
    <w:rsid w:val="7A815913"/>
    <w:rsid w:val="7C8B4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autoRedefine/>
    <w:unhideWhenUsed/>
    <w:qFormat/>
    <w:uiPriority w:val="1"/>
  </w:style>
  <w:style w:type="table" w:default="1" w:styleId="5">
    <w:name w:val="Normal Table"/>
    <w:autoRedefine/>
    <w:unhideWhenUsed/>
    <w:qFormat/>
    <w:uiPriority w:val="99"/>
    <w:tblPr>
      <w:tblCellMar>
        <w:top w:w="0" w:type="dxa"/>
        <w:left w:w="108" w:type="dxa"/>
        <w:bottom w:w="0" w:type="dxa"/>
        <w:right w:w="108" w:type="dxa"/>
      </w:tblCellMar>
    </w:tblPr>
  </w:style>
  <w:style w:type="paragraph" w:styleId="2">
    <w:name w:val="Balloon Text"/>
    <w:basedOn w:val="1"/>
    <w:link w:val="12"/>
    <w:autoRedefine/>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autoRedefine/>
    <w:qFormat/>
    <w:uiPriority w:val="20"/>
    <w:rPr>
      <w:i/>
    </w:rPr>
  </w:style>
  <w:style w:type="character" w:styleId="9">
    <w:name w:val="Hyperlink"/>
    <w:basedOn w:val="7"/>
    <w:autoRedefine/>
    <w:unhideWhenUsed/>
    <w:qFormat/>
    <w:uiPriority w:val="99"/>
    <w:rPr>
      <w:color w:val="0000FF"/>
      <w:u w:val="single"/>
    </w:rPr>
  </w:style>
  <w:style w:type="character" w:customStyle="1" w:styleId="10">
    <w:name w:val="页眉 Char"/>
    <w:basedOn w:val="7"/>
    <w:link w:val="4"/>
    <w:autoRedefine/>
    <w:semiHidden/>
    <w:qFormat/>
    <w:uiPriority w:val="99"/>
    <w:rPr>
      <w:sz w:val="18"/>
      <w:szCs w:val="18"/>
    </w:rPr>
  </w:style>
  <w:style w:type="character" w:customStyle="1" w:styleId="11">
    <w:name w:val="页脚 Char"/>
    <w:basedOn w:val="7"/>
    <w:link w:val="3"/>
    <w:autoRedefine/>
    <w:semiHidden/>
    <w:qFormat/>
    <w:uiPriority w:val="99"/>
    <w:rPr>
      <w:sz w:val="18"/>
      <w:szCs w:val="18"/>
    </w:rPr>
  </w:style>
  <w:style w:type="character" w:customStyle="1" w:styleId="12">
    <w:name w:val="批注框文本 Char"/>
    <w:basedOn w:val="7"/>
    <w:link w:val="2"/>
    <w:autoRedefine/>
    <w:semiHidden/>
    <w:qFormat/>
    <w:uiPriority w:val="99"/>
    <w:rPr>
      <w:sz w:val="18"/>
      <w:szCs w:val="18"/>
    </w:rPr>
  </w:style>
  <w:style w:type="paragraph" w:customStyle="1" w:styleId="13">
    <w:name w:val="List Paragraph"/>
    <w:basedOn w:val="1"/>
    <w:autoRedefine/>
    <w:qFormat/>
    <w:uiPriority w:val="34"/>
    <w:pPr>
      <w:ind w:firstLine="420" w:firstLineChars="200"/>
    </w:pPr>
  </w:style>
  <w:style w:type="paragraph" w:customStyle="1" w:styleId="14">
    <w:name w:val="列出段落1"/>
    <w:basedOn w:val="1"/>
    <w:autoRedefine/>
    <w:qFormat/>
    <w:uiPriority w:val="0"/>
    <w:pPr>
      <w:ind w:firstLine="420" w:firstLineChars="200"/>
    </w:pPr>
  </w:style>
  <w:style w:type="paragraph" w:customStyle="1" w:styleId="15">
    <w:name w:val="Párrafo de lista1"/>
    <w:basedOn w:val="1"/>
    <w:autoRedefine/>
    <w:qFormat/>
    <w:uiPriority w:val="34"/>
    <w:pPr>
      <w:ind w:firstLine="420" w:firstLineChars="200"/>
    </w:pPr>
  </w:style>
  <w:style w:type="paragraph" w:customStyle="1" w:styleId="16">
    <w:name w:val="正文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hint="eastAsia"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3152</Words>
  <Characters>3754</Characters>
  <Lines>11</Lines>
  <Paragraphs>3</Paragraphs>
  <TotalTime>4</TotalTime>
  <ScaleCrop>false</ScaleCrop>
  <LinksUpToDate>false</LinksUpToDate>
  <CharactersWithSpaces>3819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2016-10-11T07:51:00Z</dcterms:created>
  <dc:creator>RuthSun</dc:creator>
  <cp:lastModifiedBy>PC</cp:lastModifiedBy>
  <cp:lastPrinted>2019-03-01T05:00:00Z</cp:lastPrinted>
  <dcterms:modified xsi:type="dcterms:W3CDTF">2024-04-24T04:20:42Z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RubyTemplateID" linkTarget="0">
    <vt:lpwstr>6</vt:lpwstr>
  </property>
  <property fmtid="{D5CDD505-2E9C-101B-9397-08002B2CF9AE}" pid="4" name="ICV">
    <vt:lpwstr>E9794A48056E4D17A2A7E892B009E0B7_13</vt:lpwstr>
  </property>
</Properties>
</file>